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eastAsia" w:ascii="Arial" w:hAnsi="Arial" w:cs="Arial"/>
          <w:b/>
          <w:color w:val="auto"/>
          <w:sz w:val="24"/>
          <w:szCs w:val="24"/>
          <w:highlight w:val="none"/>
          <w:lang w:val="en-US" w:eastAsia="zh-CN"/>
        </w:rPr>
        <w:t xml:space="preserve">3GPP TSG-RAN WG4 Meeting # 106bis-e                               </w:t>
      </w:r>
      <w:r>
        <w:rPr>
          <w:rFonts w:hint="default" w:ascii="Arial" w:hAnsi="Arial" w:cs="Arial"/>
          <w:b/>
          <w:color w:val="auto"/>
          <w:sz w:val="24"/>
          <w:szCs w:val="24"/>
          <w:highlight w:val="none"/>
          <w:lang w:val="en-US" w:eastAsia="zh-CN"/>
        </w:rPr>
        <w:t xml:space="preserve">R4-2304668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b/>
          <w:i/>
          <w:sz w:val="24"/>
          <w:highlight w:val="none"/>
        </w:rPr>
      </w:pPr>
      <w:r>
        <w:rPr>
          <w:rFonts w:hint="eastAsia" w:ascii="Arial" w:hAnsi="Arial" w:cs="Arial"/>
          <w:b/>
          <w:color w:val="auto"/>
          <w:sz w:val="24"/>
          <w:szCs w:val="24"/>
          <w:highlight w:val="none"/>
          <w:lang w:val="en-US" w:eastAsia="zh-CN"/>
        </w:rPr>
        <w:t>Electronic Meeting, April 17 – April 26, 2023</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BS demodulation performance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5.14.5.3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spacing w:before="120" w:after="120"/>
        <w:rPr>
          <w:rFonts w:eastAsia="游明朝"/>
          <w:lang w:eastAsia="ja-JP"/>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w:t>
      </w:r>
    </w:p>
    <w:p>
      <w:pPr>
        <w:spacing w:before="120" w:after="120"/>
        <w:rPr>
          <w:rFonts w:hint="default"/>
          <w:kern w:val="0"/>
          <w:sz w:val="20"/>
          <w:lang w:val="en-US"/>
        </w:rPr>
      </w:pPr>
      <w:r>
        <w:rPr>
          <w:rFonts w:hint="eastAsia" w:cs="Times New Roman"/>
          <w:kern w:val="2"/>
          <w:sz w:val="21"/>
          <w:szCs w:val="22"/>
          <w:highlight w:val="none"/>
          <w:lang w:val="en-US" w:eastAsia="zh-CN" w:bidi="ar-SA"/>
        </w:rPr>
        <w:t>During the last RAN4 meeting, some conclusions has been reached for ATG UL demodulation. which are listed below[2].We want to share some views on ATG BS demodulation performance requirements.</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2.1</w:t>
      </w:r>
      <w:r>
        <w:rPr>
          <w:rFonts w:hint="eastAsia" w:cs="Times New Roman"/>
          <w:b/>
          <w:kern w:val="0"/>
          <w:sz w:val="21"/>
          <w:szCs w:val="21"/>
          <w:lang w:val="en-US" w:eastAsia="zh-CN"/>
        </w:rPr>
        <w:t xml:space="preserve"> Test scope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18"/>
                <w:szCs w:val="18"/>
                <w:u w:val="single"/>
              </w:rPr>
            </w:pPr>
            <w:r>
              <w:rPr>
                <w:b/>
                <w:sz w:val="18"/>
                <w:szCs w:val="18"/>
                <w:u w:val="single"/>
                <w:lang w:eastAsia="ko-KR"/>
              </w:rPr>
              <w:t xml:space="preserve">Issue </w:t>
            </w:r>
            <w:r>
              <w:rPr>
                <w:rFonts w:hint="eastAsia"/>
                <w:b/>
                <w:sz w:val="18"/>
                <w:szCs w:val="18"/>
                <w:u w:val="single"/>
                <w:lang w:val="en-US" w:eastAsia="zh-CN"/>
              </w:rPr>
              <w:t>2</w:t>
            </w:r>
            <w:r>
              <w:rPr>
                <w:b/>
                <w:sz w:val="18"/>
                <w:szCs w:val="18"/>
                <w:u w:val="single"/>
                <w:lang w:eastAsia="ko-KR"/>
              </w:rPr>
              <w:t>-</w:t>
            </w:r>
            <w:r>
              <w:rPr>
                <w:rFonts w:hint="eastAsia"/>
                <w:b/>
                <w:sz w:val="18"/>
                <w:szCs w:val="18"/>
                <w:u w:val="single"/>
                <w:lang w:val="en-US" w:eastAsia="zh-CN"/>
              </w:rPr>
              <w:t>4</w:t>
            </w:r>
            <w:r>
              <w:rPr>
                <w:b/>
                <w:sz w:val="18"/>
                <w:szCs w:val="18"/>
                <w:u w:val="single"/>
                <w:lang w:eastAsia="ko-KR"/>
              </w:rPr>
              <w:t>-1: Test scope</w:t>
            </w:r>
          </w:p>
          <w:p>
            <w:pPr>
              <w:overflowPunct w:val="0"/>
              <w:autoSpaceDE w:val="0"/>
              <w:autoSpaceDN w:val="0"/>
              <w:adjustRightInd w:val="0"/>
              <w:spacing w:after="180"/>
              <w:textAlignment w:val="baseline"/>
              <w:rPr>
                <w:rFonts w:eastAsiaTheme="minorEastAsia"/>
                <w:b/>
                <w:sz w:val="18"/>
                <w:szCs w:val="18"/>
              </w:rPr>
            </w:pPr>
            <w:r>
              <w:rPr>
                <w:rFonts w:hint="eastAsia" w:eastAsiaTheme="minorEastAsia"/>
                <w:b/>
                <w:sz w:val="18"/>
                <w:szCs w:val="18"/>
              </w:rPr>
              <w:t>Agreement:</w:t>
            </w:r>
          </w:p>
          <w:p>
            <w:pPr>
              <w:numPr>
                <w:ilvl w:val="0"/>
                <w:numId w:val="7"/>
              </w:numPr>
              <w:overflowPunct w:val="0"/>
              <w:autoSpaceDE w:val="0"/>
              <w:autoSpaceDN w:val="0"/>
              <w:adjustRightInd w:val="0"/>
              <w:spacing w:after="120"/>
              <w:textAlignment w:val="baseline"/>
              <w:rPr>
                <w:rFonts w:eastAsia="宋体"/>
                <w:sz w:val="18"/>
                <w:szCs w:val="18"/>
              </w:rPr>
            </w:pPr>
            <w:r>
              <w:rPr>
                <w:rFonts w:eastAsia="宋体"/>
                <w:sz w:val="18"/>
                <w:szCs w:val="18"/>
              </w:rPr>
              <w:t>PUSCH/PUCCH/PRACH</w:t>
            </w:r>
          </w:p>
          <w:p>
            <w:pPr>
              <w:numPr>
                <w:ilvl w:val="1"/>
                <w:numId w:val="7"/>
              </w:numPr>
              <w:overflowPunct w:val="0"/>
              <w:autoSpaceDE w:val="0"/>
              <w:autoSpaceDN w:val="0"/>
              <w:adjustRightInd w:val="0"/>
              <w:spacing w:after="120"/>
              <w:textAlignment w:val="baseline"/>
              <w:rPr>
                <w:rFonts w:eastAsia="宋体"/>
                <w:sz w:val="18"/>
                <w:szCs w:val="18"/>
              </w:rPr>
            </w:pPr>
            <w:r>
              <w:rPr>
                <w:rFonts w:eastAsia="宋体"/>
                <w:sz w:val="18"/>
                <w:szCs w:val="18"/>
              </w:rPr>
              <w:t xml:space="preserve">Option 1: New dedicated requirements required </w:t>
            </w:r>
          </w:p>
          <w:p>
            <w:pPr>
              <w:numPr>
                <w:ilvl w:val="1"/>
                <w:numId w:val="7"/>
              </w:numPr>
              <w:overflowPunct w:val="0"/>
              <w:autoSpaceDE w:val="0"/>
              <w:autoSpaceDN w:val="0"/>
              <w:adjustRightInd w:val="0"/>
              <w:spacing w:after="120"/>
              <w:textAlignment w:val="baseline"/>
              <w:rPr>
                <w:rFonts w:eastAsia="宋体"/>
                <w:sz w:val="18"/>
                <w:szCs w:val="18"/>
              </w:rPr>
            </w:pPr>
            <w:r>
              <w:rPr>
                <w:rFonts w:eastAsia="宋体"/>
                <w:sz w:val="18"/>
                <w:szCs w:val="18"/>
              </w:rPr>
              <w:t xml:space="preserve">Option 2: Existing requirements can be applied for ATG BS </w:t>
            </w:r>
          </w:p>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rPr>
                <w:rFonts w:eastAsia="宋体"/>
                <w:sz w:val="18"/>
                <w:szCs w:val="18"/>
              </w:rPr>
              <w:t>For PRACH format: FFS only long preamble format can be considered or both long and short format need to be considered</w:t>
            </w:r>
          </w:p>
        </w:tc>
      </w:tr>
    </w:tbl>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last meeting, we made a conclusion that UE can perform pre-compensate for uplink transmission. Based on the conclusion, there is no necessary to consider lager Doppler shift for ATG demodulation. And we made the following conclusions for ATG channel model.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18"/>
                <w:szCs w:val="18"/>
                <w:highlight w:val="green"/>
                <w:u w:val="single"/>
              </w:rPr>
            </w:pPr>
            <w:r>
              <w:rPr>
                <w:b/>
                <w:sz w:val="18"/>
                <w:szCs w:val="18"/>
                <w:highlight w:val="green"/>
                <w:u w:val="single"/>
                <w:lang w:eastAsia="ko-KR"/>
              </w:rPr>
              <w:t>Channel model</w:t>
            </w:r>
          </w:p>
          <w:p>
            <w:pPr>
              <w:overflowPunct w:val="0"/>
              <w:autoSpaceDE w:val="0"/>
              <w:autoSpaceDN w:val="0"/>
              <w:adjustRightInd w:val="0"/>
              <w:spacing w:after="180"/>
              <w:textAlignment w:val="baseline"/>
              <w:rPr>
                <w:rFonts w:eastAsiaTheme="minorEastAsia"/>
                <w:b/>
                <w:sz w:val="18"/>
                <w:szCs w:val="18"/>
                <w:highlight w:val="green"/>
              </w:rPr>
            </w:pPr>
            <w:r>
              <w:rPr>
                <w:rFonts w:hint="eastAsia" w:eastAsiaTheme="minorEastAsia"/>
                <w:b/>
                <w:sz w:val="18"/>
                <w:szCs w:val="18"/>
                <w:highlight w:val="green"/>
              </w:rPr>
              <w:t>Agreement:</w:t>
            </w:r>
          </w:p>
          <w:p>
            <w:pPr>
              <w:numPr>
                <w:ilvl w:val="0"/>
                <w:numId w:val="7"/>
              </w:numPr>
              <w:overflowPunct w:val="0"/>
              <w:autoSpaceDE w:val="0"/>
              <w:autoSpaceDN w:val="0"/>
              <w:adjustRightInd w:val="0"/>
              <w:spacing w:after="120"/>
              <w:textAlignment w:val="baseline"/>
              <w:rPr>
                <w:rFonts w:eastAsia="宋体"/>
                <w:sz w:val="18"/>
                <w:szCs w:val="18"/>
                <w:highlight w:val="green"/>
                <w:lang w:val="en-GB"/>
              </w:rPr>
            </w:pPr>
            <w:r>
              <w:rPr>
                <w:rFonts w:eastAsia="宋体"/>
                <w:sz w:val="18"/>
                <w:szCs w:val="18"/>
                <w:highlight w:val="green"/>
                <w:lang w:val="en-GB"/>
              </w:rPr>
              <w:t xml:space="preserve">Candidate channel models for ATG deployment: </w:t>
            </w:r>
          </w:p>
          <w:p>
            <w:pPr>
              <w:numPr>
                <w:ilvl w:val="1"/>
                <w:numId w:val="7"/>
              </w:numPr>
              <w:overflowPunct w:val="0"/>
              <w:autoSpaceDE w:val="0"/>
              <w:autoSpaceDN w:val="0"/>
              <w:adjustRightInd w:val="0"/>
              <w:spacing w:after="120"/>
              <w:textAlignment w:val="baseline"/>
              <w:rPr>
                <w:rFonts w:eastAsia="宋体"/>
                <w:sz w:val="18"/>
                <w:szCs w:val="18"/>
                <w:highlight w:val="green"/>
                <w:lang w:val="en-GB"/>
              </w:rPr>
            </w:pPr>
            <w:r>
              <w:rPr>
                <w:rFonts w:eastAsia="宋体"/>
                <w:sz w:val="18"/>
                <w:szCs w:val="18"/>
                <w:highlight w:val="green"/>
                <w:lang w:val="en-GB"/>
              </w:rPr>
              <w:t xml:space="preserve">Option 1: Single path AWGN channel </w:t>
            </w:r>
          </w:p>
          <w:p>
            <w:pPr>
              <w:numPr>
                <w:ilvl w:val="1"/>
                <w:numId w:val="7"/>
              </w:numPr>
              <w:overflowPunct w:val="0"/>
              <w:autoSpaceDE w:val="0"/>
              <w:autoSpaceDN w:val="0"/>
              <w:adjustRightInd w:val="0"/>
              <w:spacing w:after="120"/>
              <w:textAlignment w:val="baseline"/>
              <w:rPr>
                <w:rFonts w:eastAsia="宋体"/>
                <w:sz w:val="18"/>
                <w:szCs w:val="18"/>
                <w:highlight w:val="green"/>
                <w:lang w:val="en-GB"/>
              </w:rPr>
            </w:pPr>
            <w:r>
              <w:rPr>
                <w:rFonts w:eastAsia="宋体"/>
                <w:sz w:val="18"/>
                <w:szCs w:val="18"/>
                <w:highlight w:val="green"/>
                <w:lang w:val="en-GB"/>
              </w:rPr>
              <w:t>Option 2: NTN-TDL-C (FFS for the delay spread and K factor)</w:t>
            </w:r>
          </w:p>
          <w:p>
            <w:pPr>
              <w:numPr>
                <w:ilvl w:val="0"/>
                <w:numId w:val="7"/>
              </w:numPr>
              <w:overflowPunct w:val="0"/>
              <w:autoSpaceDE w:val="0"/>
              <w:autoSpaceDN w:val="0"/>
              <w:adjustRightInd w:val="0"/>
              <w:spacing w:after="120"/>
              <w:textAlignment w:val="baseline"/>
              <w:rPr>
                <w:rFonts w:hint="default" w:cs="Times New Roman"/>
                <w:kern w:val="2"/>
                <w:sz w:val="21"/>
                <w:szCs w:val="22"/>
                <w:highlight w:val="none"/>
                <w:vertAlign w:val="baseline"/>
                <w:lang w:val="en-US" w:eastAsia="zh-CN" w:bidi="ar-SA"/>
              </w:rPr>
            </w:pPr>
            <w:r>
              <w:rPr>
                <w:rFonts w:eastAsia="宋体"/>
                <w:sz w:val="18"/>
                <w:szCs w:val="18"/>
                <w:highlight w:val="green"/>
                <w:lang w:val="en-GB"/>
              </w:rPr>
              <w:t>Doppler shift assumption: 0.1 ppm</w:t>
            </w:r>
          </w:p>
        </w:tc>
      </w:tr>
    </w:tbl>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From this agreement, we can find that AWGN or NTN-TDLC channel model are optional for ATG scenario. Based on our observation, whether to consider new requirements for PUSCH/PUCCH/PRACH related to ATG channel model. Next, we will analyze whether to define new requirements for the two channel models one by one. Firstly, If the single tap AWGN channel is used for demodulation evaluation, we notice that the current TS 38.104 only specifies PRACH requirements for AWGN channel model. From that we understand, we need to consider new dedicated requirements for PUSCH/PUCCH /PRACH for AWGN channel model. </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general, UE timing shift and frequency shift pre-compensation are supported for ATG scenario. The cell coverage and UL timing for PRACH would be greatly relaxed. So long formats and short formats could be feasible for ATG scenario. And for long formats, the coverage should be greater than that of the short formats. Also format 0 has a better frequency offset resistance capability. Based on our analysis, we prefer to use format 0 for ATG scenario.</w:t>
      </w:r>
    </w:p>
    <w:p>
      <w:pPr>
        <w:pStyle w:val="62"/>
        <w:keepLines w:val="0"/>
        <w:widowControl w:val="0"/>
        <w:spacing w:before="120" w:after="120"/>
        <w:ind w:left="0" w:firstLine="0"/>
        <w:rPr>
          <w:rFonts w:hint="default" w:cs="Times New Roman"/>
          <w:kern w:val="2"/>
          <w:sz w:val="21"/>
          <w:szCs w:val="22"/>
          <w:highlight w:val="none"/>
          <w:lang w:val="en-US" w:eastAsia="zh-CN" w:bidi="ar-SA"/>
        </w:rPr>
      </w:pPr>
      <w:r>
        <w:rPr>
          <w:rFonts w:hint="eastAsia"/>
          <w:b/>
          <w:bCs/>
          <w:i/>
          <w:iCs/>
          <w:kern w:val="2"/>
          <w:lang w:val="en-US" w:eastAsia="zh-CN"/>
        </w:rPr>
        <w:t>Observation 1. There is no PUSCH and PUCCH requirement defined for AWGN channel model in TS 38.104.</w:t>
      </w:r>
    </w:p>
    <w:p>
      <w:pPr>
        <w:spacing w:before="120" w:after="120"/>
        <w:rPr>
          <w:rFonts w:hint="eastAsia"/>
          <w:b/>
          <w:bCs/>
          <w:i/>
          <w:iCs/>
          <w:kern w:val="2"/>
          <w:lang w:val="en-US" w:eastAsia="zh-CN"/>
        </w:rPr>
      </w:pPr>
      <w:r>
        <w:rPr>
          <w:rFonts w:hint="eastAsia"/>
          <w:b/>
          <w:bCs/>
          <w:i/>
          <w:iCs/>
          <w:kern w:val="2"/>
          <w:lang w:val="en-US" w:eastAsia="zh-CN"/>
        </w:rPr>
        <w:t xml:space="preserve">Proposal 1: To define new dedicated requirements for PUSCH/PUCCH for AGWN channel model. </w:t>
      </w:r>
    </w:p>
    <w:p>
      <w:pPr>
        <w:spacing w:before="120" w:after="120"/>
        <w:rPr>
          <w:rFonts w:hint="default"/>
          <w:b/>
          <w:bCs/>
          <w:i/>
          <w:iCs/>
          <w:kern w:val="2"/>
          <w:highlight w:val="none"/>
          <w:lang w:val="en-US" w:eastAsia="zh-CN"/>
        </w:rPr>
      </w:pPr>
      <w:r>
        <w:rPr>
          <w:rFonts w:hint="eastAsia"/>
          <w:b/>
          <w:bCs/>
          <w:i/>
          <w:iCs/>
          <w:kern w:val="2"/>
          <w:highlight w:val="none"/>
          <w:lang w:val="en-US" w:eastAsia="zh-CN"/>
        </w:rPr>
        <w:t xml:space="preserve">Proposal 2: Only consider long format 0 for PRACH. </w:t>
      </w:r>
    </w:p>
    <w:p>
      <w:pPr>
        <w:numPr>
          <w:ilvl w:val="0"/>
          <w:numId w:val="0"/>
        </w:numPr>
        <w:spacing w:before="120" w:after="120"/>
        <w:rPr>
          <w:rFonts w:hint="eastAsia" w:cs="Times New Roman"/>
          <w:b/>
          <w:kern w:val="0"/>
          <w:sz w:val="21"/>
          <w:szCs w:val="21"/>
          <w:lang w:val="en-US" w:eastAsia="zh-CN"/>
        </w:rPr>
      </w:pPr>
      <w:r>
        <w:rPr>
          <w:rFonts w:hint="eastAsia" w:cs="Times New Roman"/>
          <w:b/>
          <w:kern w:val="0"/>
          <w:sz w:val="21"/>
          <w:szCs w:val="21"/>
          <w:lang w:val="en-US" w:eastAsia="zh-CN"/>
        </w:rPr>
        <w:t>2.2 Bandwidth &amp; SCS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eastAsiaTheme="minorEastAsia"/>
                <w:b/>
                <w:sz w:val="18"/>
                <w:szCs w:val="18"/>
              </w:rPr>
            </w:pPr>
            <w:r>
              <w:rPr>
                <w:b/>
                <w:sz w:val="18"/>
                <w:szCs w:val="18"/>
                <w:u w:val="single"/>
                <w:lang w:eastAsia="ko-KR"/>
              </w:rPr>
              <w:t xml:space="preserve">Issue </w:t>
            </w:r>
            <w:r>
              <w:rPr>
                <w:rFonts w:hint="eastAsia"/>
                <w:b/>
                <w:sz w:val="18"/>
                <w:szCs w:val="18"/>
                <w:u w:val="single"/>
                <w:lang w:val="en-US" w:eastAsia="zh-CN"/>
              </w:rPr>
              <w:t>2</w:t>
            </w:r>
            <w:r>
              <w:rPr>
                <w:b/>
                <w:sz w:val="18"/>
                <w:szCs w:val="18"/>
                <w:u w:val="single"/>
                <w:lang w:eastAsia="ko-KR"/>
              </w:rPr>
              <w:t>-</w:t>
            </w:r>
            <w:r>
              <w:rPr>
                <w:rFonts w:hint="eastAsia"/>
                <w:b/>
                <w:sz w:val="18"/>
                <w:szCs w:val="18"/>
                <w:u w:val="single"/>
                <w:lang w:val="en-US" w:eastAsia="zh-CN"/>
              </w:rPr>
              <w:t>4</w:t>
            </w:r>
            <w:r>
              <w:rPr>
                <w:b/>
                <w:sz w:val="18"/>
                <w:szCs w:val="18"/>
                <w:u w:val="single"/>
                <w:lang w:eastAsia="ko-KR"/>
              </w:rPr>
              <w:t>-2: Bandwidth &amp; SCS</w:t>
            </w:r>
          </w:p>
          <w:p>
            <w:pPr>
              <w:overflowPunct w:val="0"/>
              <w:autoSpaceDE w:val="0"/>
              <w:autoSpaceDN w:val="0"/>
              <w:adjustRightInd w:val="0"/>
              <w:spacing w:after="180"/>
              <w:textAlignment w:val="baseline"/>
              <w:rPr>
                <w:rFonts w:eastAsiaTheme="minorEastAsia"/>
                <w:b/>
                <w:sz w:val="18"/>
                <w:szCs w:val="18"/>
              </w:rPr>
            </w:pPr>
            <w:r>
              <w:rPr>
                <w:rFonts w:hint="eastAsia" w:eastAsiaTheme="minorEastAsia"/>
                <w:b/>
                <w:sz w:val="18"/>
                <w:szCs w:val="18"/>
              </w:rPr>
              <w:t>Agreement:</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Apply 15kHz SCS for FDD, 30kHz SCS for TDD.</w:t>
            </w:r>
          </w:p>
          <w:p>
            <w:pPr>
              <w:overflowPunct w:val="0"/>
              <w:autoSpaceDE w:val="0"/>
              <w:autoSpaceDN w:val="0"/>
              <w:adjustRightInd w:val="0"/>
              <w:spacing w:after="120"/>
              <w:textAlignment w:val="baseline"/>
              <w:rPr>
                <w:rFonts w:eastAsia="宋体"/>
                <w:sz w:val="18"/>
                <w:szCs w:val="18"/>
              </w:rPr>
            </w:pPr>
            <w:r>
              <w:rPr>
                <w:rFonts w:eastAsia="宋体"/>
                <w:sz w:val="18"/>
                <w:szCs w:val="18"/>
              </w:rPr>
              <w:t>FFS channel bandwidth:</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hint="eastAsia" w:eastAsia="宋体" w:cs="Times New Roman"/>
                <w:sz w:val="18"/>
                <w:szCs w:val="18"/>
              </w:rPr>
              <w:t>F</w:t>
            </w:r>
            <w:r>
              <w:rPr>
                <w:rFonts w:eastAsia="宋体" w:cs="Times New Roman"/>
                <w:sz w:val="18"/>
                <w:szCs w:val="18"/>
              </w:rPr>
              <w:t>or FDD 15kHz, consider all or part of following bandwidths:</w:t>
            </w:r>
          </w:p>
          <w:p>
            <w:pPr>
              <w:pStyle w:val="32"/>
              <w:numPr>
                <w:ilvl w:val="1"/>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5MHz, 20MHz and 40MHz</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hint="eastAsia" w:eastAsia="宋体" w:cs="Times New Roman"/>
                <w:sz w:val="18"/>
                <w:szCs w:val="18"/>
              </w:rPr>
              <w:t>F</w:t>
            </w:r>
            <w:r>
              <w:rPr>
                <w:rFonts w:eastAsia="宋体" w:cs="Times New Roman"/>
                <w:sz w:val="18"/>
                <w:szCs w:val="18"/>
              </w:rPr>
              <w:t>or TDD 30kHz, consider all or part of following bandwidths:</w:t>
            </w:r>
          </w:p>
          <w:p>
            <w:pPr>
              <w:pStyle w:val="32"/>
              <w:numPr>
                <w:ilvl w:val="1"/>
                <w:numId w:val="7"/>
              </w:numPr>
              <w:overflowPunct w:val="0"/>
              <w:autoSpaceDE w:val="0"/>
              <w:autoSpaceDN w:val="0"/>
              <w:adjustRightInd w:val="0"/>
              <w:spacing w:after="120"/>
              <w:ind w:firstLineChars="0"/>
              <w:textAlignment w:val="baseline"/>
              <w:rPr>
                <w:rFonts w:hint="default" w:cs="Times New Roman"/>
                <w:b/>
                <w:kern w:val="0"/>
                <w:sz w:val="24"/>
                <w:szCs w:val="24"/>
                <w:vertAlign w:val="baseline"/>
                <w:lang w:val="en-US" w:eastAsia="zh-CN"/>
              </w:rPr>
            </w:pPr>
            <w:r>
              <w:rPr>
                <w:rFonts w:eastAsia="宋体" w:cs="Times New Roman"/>
                <w:sz w:val="18"/>
                <w:szCs w:val="18"/>
              </w:rPr>
              <w:t>10MHz, 40MHz, 60MHz and 100MHz</w:t>
            </w:r>
          </w:p>
        </w:tc>
      </w:tr>
    </w:tbl>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general, we can keep alignment with UE demodulation which support 10MHz for FDD and 40MHz or 100MHz for TDD band.</w:t>
      </w:r>
    </w:p>
    <w:p>
      <w:pPr>
        <w:spacing w:before="120" w:after="120"/>
        <w:rPr>
          <w:rFonts w:hint="default" w:cs="Times New Roman"/>
          <w:kern w:val="2"/>
          <w:sz w:val="21"/>
          <w:szCs w:val="22"/>
          <w:highlight w:val="none"/>
          <w:lang w:val="en-US" w:eastAsia="zh-CN" w:bidi="ar-SA"/>
        </w:rPr>
      </w:pPr>
      <w:r>
        <w:rPr>
          <w:rFonts w:hint="eastAsia"/>
          <w:b/>
          <w:bCs/>
          <w:i/>
          <w:iCs/>
          <w:kern w:val="2"/>
          <w:lang w:val="en-US" w:eastAsia="zh-CN"/>
        </w:rPr>
        <w:t>Proposal 3. To consider 10MHz for FDD band and 40MHz or 100MHz for TDD band.</w:t>
      </w:r>
    </w:p>
    <w:p>
      <w:pPr>
        <w:numPr>
          <w:ilvl w:val="0"/>
          <w:numId w:val="0"/>
        </w:numPr>
        <w:spacing w:before="120" w:after="120"/>
        <w:rPr>
          <w:rFonts w:hint="eastAsia" w:cs="Times New Roman"/>
          <w:b/>
          <w:kern w:val="0"/>
          <w:sz w:val="21"/>
          <w:szCs w:val="21"/>
          <w:lang w:val="en-US" w:eastAsia="zh-CN"/>
        </w:rPr>
      </w:pPr>
      <w:r>
        <w:rPr>
          <w:rFonts w:hint="eastAsia" w:cs="Times New Roman"/>
          <w:b/>
          <w:kern w:val="0"/>
          <w:sz w:val="21"/>
          <w:szCs w:val="21"/>
          <w:lang w:val="en-US" w:eastAsia="zh-CN"/>
        </w:rPr>
        <w:t>2.3  TDD pattern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18"/>
                <w:szCs w:val="18"/>
                <w:u w:val="single"/>
                <w:lang w:eastAsia="ko-KR"/>
              </w:rPr>
            </w:pPr>
            <w:r>
              <w:rPr>
                <w:b/>
                <w:sz w:val="18"/>
                <w:szCs w:val="18"/>
                <w:u w:val="single"/>
                <w:lang w:eastAsia="ko-KR"/>
              </w:rPr>
              <w:t xml:space="preserve">Issue </w:t>
            </w:r>
            <w:r>
              <w:rPr>
                <w:rFonts w:hint="eastAsia"/>
                <w:b/>
                <w:sz w:val="18"/>
                <w:szCs w:val="18"/>
                <w:u w:val="single"/>
                <w:lang w:val="en-US" w:eastAsia="zh-CN"/>
              </w:rPr>
              <w:t>2</w:t>
            </w:r>
            <w:r>
              <w:rPr>
                <w:b/>
                <w:sz w:val="18"/>
                <w:szCs w:val="18"/>
                <w:u w:val="single"/>
                <w:lang w:eastAsia="ko-KR"/>
              </w:rPr>
              <w:t>-</w:t>
            </w:r>
            <w:r>
              <w:rPr>
                <w:rFonts w:hint="eastAsia"/>
                <w:b/>
                <w:sz w:val="18"/>
                <w:szCs w:val="18"/>
                <w:u w:val="single"/>
                <w:lang w:val="en-US" w:eastAsia="zh-CN"/>
              </w:rPr>
              <w:t>4</w:t>
            </w:r>
            <w:r>
              <w:rPr>
                <w:b/>
                <w:sz w:val="18"/>
                <w:szCs w:val="18"/>
                <w:u w:val="single"/>
                <w:lang w:eastAsia="ko-KR"/>
              </w:rPr>
              <w:t>-3: TDD pattern</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 xml:space="preserve">Option 1: Define new TDD pattern </w:t>
            </w:r>
            <w:r>
              <w:rPr>
                <w:rFonts w:hint="eastAsia" w:eastAsia="宋体" w:cs="Times New Roman"/>
                <w:sz w:val="18"/>
                <w:szCs w:val="18"/>
              </w:rPr>
              <w:t xml:space="preserve">(e.g. </w:t>
            </w:r>
            <w:r>
              <w:rPr>
                <w:rFonts w:eastAsia="宋体" w:cs="Times New Roman"/>
                <w:sz w:val="18"/>
                <w:szCs w:val="18"/>
              </w:rPr>
              <w:t>30D4S6U</w:t>
            </w:r>
            <w:r>
              <w:rPr>
                <w:rFonts w:hint="eastAsia" w:eastAsia="宋体" w:cs="Times New Roman"/>
                <w:sz w:val="18"/>
                <w:szCs w:val="18"/>
              </w:rPr>
              <w:t>, S=14G)</w:t>
            </w:r>
            <w:r>
              <w:rPr>
                <w:rFonts w:eastAsia="宋体" w:cs="Times New Roman"/>
                <w:sz w:val="18"/>
                <w:szCs w:val="18"/>
              </w:rPr>
              <w:t xml:space="preserve"> which only applied for ATG scenario.</w:t>
            </w:r>
          </w:p>
          <w:p>
            <w:pPr>
              <w:pStyle w:val="32"/>
              <w:numPr>
                <w:ilvl w:val="0"/>
                <w:numId w:val="7"/>
              </w:numPr>
              <w:overflowPunct w:val="0"/>
              <w:autoSpaceDE w:val="0"/>
              <w:autoSpaceDN w:val="0"/>
              <w:adjustRightInd w:val="0"/>
              <w:spacing w:after="120"/>
              <w:ind w:firstLineChars="0"/>
              <w:textAlignment w:val="baseline"/>
              <w:rPr>
                <w:rFonts w:hint="eastAsia" w:cs="Times New Roman"/>
                <w:b/>
                <w:kern w:val="0"/>
                <w:sz w:val="21"/>
                <w:szCs w:val="21"/>
                <w:vertAlign w:val="baseline"/>
                <w:lang w:val="en-US" w:eastAsia="zh-CN"/>
              </w:rPr>
            </w:pPr>
            <w:r>
              <w:rPr>
                <w:rFonts w:hint="eastAsia" w:eastAsia="宋体" w:cs="Times New Roman"/>
                <w:sz w:val="18"/>
                <w:szCs w:val="18"/>
              </w:rPr>
              <w:t xml:space="preserve">Option 2: </w:t>
            </w:r>
            <w:r>
              <w:rPr>
                <w:rFonts w:eastAsia="宋体" w:cs="Times New Roman"/>
                <w:sz w:val="18"/>
                <w:szCs w:val="18"/>
              </w:rPr>
              <w:t>Do not consider TDD pattern impact in ATG demodulation requirements because it is not relevant to receiver demodulation algorithm.</w:t>
            </w:r>
            <w:r>
              <w:rPr>
                <w:rFonts w:hint="eastAsia" w:eastAsia="宋体" w:cs="Times New Roman"/>
                <w:sz w:val="18"/>
                <w:szCs w:val="18"/>
              </w:rPr>
              <w:t xml:space="preserve"> </w:t>
            </w:r>
          </w:p>
        </w:tc>
      </w:tr>
    </w:tbl>
    <w:p>
      <w:pPr>
        <w:pStyle w:val="62"/>
        <w:keepLines w:val="0"/>
        <w:widowControl w:val="0"/>
        <w:spacing w:before="120" w:after="120"/>
        <w:ind w:left="0" w:firstLine="0"/>
        <w:jc w:val="both"/>
        <w:rPr>
          <w:rFonts w:hint="eastAsia" w:ascii="Times New Roman" w:hAnsi="Times New Roman" w:eastAsia="宋体" w:cs="Times New Roman"/>
          <w:b/>
          <w:bCs/>
          <w:i/>
          <w:iCs/>
          <w:kern w:val="2"/>
          <w:sz w:val="21"/>
          <w:lang w:val="en-US" w:eastAsia="zh-CN" w:bidi="ar-SA"/>
        </w:rPr>
      </w:pPr>
      <w:bookmarkStart w:id="3" w:name="_GoBack"/>
      <w:bookmarkEnd w:id="3"/>
      <w:r>
        <w:rPr>
          <w:rFonts w:hint="eastAsia"/>
          <w:lang w:val="en-US" w:eastAsia="zh-CN"/>
        </w:rPr>
        <w:t>With regard to TDD pattern, it was pointed out that the demodulation requirement is not so relevant to the TDD pattern since the test metric is 70% of max TP. On the other hand, actual deployment and traffic characteristics should also be considered. Therefore a new TDD pattern that reflects actual deployment is more preferred.</w:t>
      </w:r>
    </w:p>
    <w:p>
      <w:pPr>
        <w:pStyle w:val="62"/>
        <w:keepLines w:val="0"/>
        <w:widowControl w:val="0"/>
        <w:spacing w:before="120" w:after="120"/>
        <w:ind w:left="0" w:firstLine="0"/>
        <w:rPr>
          <w:rFonts w:hint="default"/>
          <w:b/>
          <w:bCs/>
          <w:i/>
          <w:iCs/>
          <w:kern w:val="2"/>
          <w:highlight w:val="none"/>
          <w:lang w:val="en-US" w:eastAsia="zh-CN"/>
        </w:rPr>
      </w:pPr>
      <w:r>
        <w:rPr>
          <w:rFonts w:hint="eastAsia" w:ascii="Times New Roman" w:hAnsi="Times New Roman" w:eastAsia="宋体" w:cs="Times New Roman"/>
          <w:b/>
          <w:bCs/>
          <w:i/>
          <w:iCs/>
          <w:kern w:val="2"/>
          <w:sz w:val="21"/>
          <w:lang w:val="en-US" w:eastAsia="zh-CN" w:bidi="ar-SA"/>
        </w:rPr>
        <w:t>Proposal 4. To consider a new TDD pattern( e.g. 30D4S6U, S=14G) for ATG scenario.</w:t>
      </w:r>
    </w:p>
    <w:p>
      <w:pPr>
        <w:numPr>
          <w:ilvl w:val="0"/>
          <w:numId w:val="0"/>
        </w:numPr>
        <w:spacing w:before="120" w:after="120"/>
        <w:rPr>
          <w:rFonts w:hint="eastAsia" w:eastAsia="宋体" w:cs="Times New Roman"/>
          <w:sz w:val="20"/>
          <w:szCs w:val="20"/>
        </w:rPr>
      </w:pPr>
      <w:r>
        <w:rPr>
          <w:rFonts w:hint="eastAsia" w:cs="Times New Roman"/>
          <w:b/>
          <w:kern w:val="0"/>
          <w:sz w:val="21"/>
          <w:szCs w:val="21"/>
          <w:lang w:val="en-US" w:eastAsia="zh-CN"/>
        </w:rPr>
        <w:t>2.4  Antenna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18"/>
                <w:szCs w:val="18"/>
                <w:u w:val="single"/>
                <w:lang w:eastAsia="ko-KR"/>
              </w:rPr>
            </w:pPr>
            <w:r>
              <w:rPr>
                <w:b/>
                <w:sz w:val="18"/>
                <w:szCs w:val="18"/>
                <w:u w:val="single"/>
                <w:lang w:eastAsia="ko-KR"/>
              </w:rPr>
              <w:t xml:space="preserve">Issue </w:t>
            </w:r>
            <w:r>
              <w:rPr>
                <w:rFonts w:hint="eastAsia"/>
                <w:b/>
                <w:sz w:val="18"/>
                <w:szCs w:val="18"/>
                <w:u w:val="single"/>
                <w:lang w:val="en-US" w:eastAsia="zh-CN"/>
              </w:rPr>
              <w:t>2</w:t>
            </w:r>
            <w:r>
              <w:rPr>
                <w:b/>
                <w:sz w:val="18"/>
                <w:szCs w:val="18"/>
                <w:u w:val="single"/>
                <w:lang w:eastAsia="ko-KR"/>
              </w:rPr>
              <w:t>-</w:t>
            </w:r>
            <w:r>
              <w:rPr>
                <w:rFonts w:hint="eastAsia"/>
                <w:b/>
                <w:sz w:val="18"/>
                <w:szCs w:val="18"/>
                <w:u w:val="single"/>
                <w:lang w:val="en-US" w:eastAsia="zh-CN"/>
              </w:rPr>
              <w:t>4</w:t>
            </w:r>
            <w:r>
              <w:rPr>
                <w:b/>
                <w:sz w:val="18"/>
                <w:szCs w:val="18"/>
                <w:u w:val="single"/>
                <w:lang w:eastAsia="ko-KR"/>
              </w:rPr>
              <w:t>-4: Antenna Configuration</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 xml:space="preserve">Option 1: 1x2, 1x4, 1x8, 2x2, 2x4, and 2x8. </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hint="eastAsia" w:eastAsia="宋体" w:cs="Times New Roman"/>
                <w:sz w:val="18"/>
                <w:szCs w:val="18"/>
              </w:rPr>
              <w:t>O</w:t>
            </w:r>
            <w:r>
              <w:rPr>
                <w:rFonts w:eastAsia="宋体" w:cs="Times New Roman"/>
                <w:sz w:val="18"/>
                <w:szCs w:val="18"/>
              </w:rPr>
              <w:t>ption 2: Use same antenna configurations and manufacture declarations as TN BS for ATG demodulation requirements, e.g., 1/2/4Tx and 2/4/8 Rx for 1-C/1-H; and 1/2Tx and 2Rx for 1-O.</w:t>
            </w:r>
          </w:p>
          <w:p>
            <w:pPr>
              <w:overflowPunct w:val="0"/>
              <w:autoSpaceDE w:val="0"/>
              <w:autoSpaceDN w:val="0"/>
              <w:adjustRightInd w:val="0"/>
              <w:spacing w:after="180"/>
              <w:textAlignment w:val="baseline"/>
              <w:rPr>
                <w:rFonts w:eastAsiaTheme="minorEastAsia"/>
                <w:b/>
                <w:sz w:val="18"/>
                <w:szCs w:val="18"/>
              </w:rPr>
            </w:pPr>
            <w:r>
              <w:rPr>
                <w:rFonts w:hint="eastAsia" w:eastAsiaTheme="minorEastAsia"/>
                <w:b/>
                <w:sz w:val="18"/>
                <w:szCs w:val="18"/>
              </w:rPr>
              <w:t>Agreement:</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For BS 1-C/1-H</w:t>
            </w:r>
          </w:p>
          <w:p>
            <w:pPr>
              <w:pStyle w:val="32"/>
              <w:numPr>
                <w:ilvl w:val="1"/>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 xml:space="preserve">1x2, 1x4, 1x8, </w:t>
            </w:r>
          </w:p>
          <w:p>
            <w:pPr>
              <w:pStyle w:val="32"/>
              <w:numPr>
                <w:ilvl w:val="1"/>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FFS 2x2, 2x4, and 2x8</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For BS 1-O</w:t>
            </w:r>
          </w:p>
          <w:p>
            <w:pPr>
              <w:pStyle w:val="32"/>
              <w:numPr>
                <w:ilvl w:val="1"/>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1x2</w:t>
            </w:r>
          </w:p>
          <w:p>
            <w:pPr>
              <w:pStyle w:val="32"/>
              <w:numPr>
                <w:ilvl w:val="1"/>
                <w:numId w:val="7"/>
              </w:numPr>
              <w:overflowPunct w:val="0"/>
              <w:autoSpaceDE w:val="0"/>
              <w:autoSpaceDN w:val="0"/>
              <w:adjustRightInd w:val="0"/>
              <w:spacing w:after="120"/>
              <w:ind w:firstLineChars="0"/>
              <w:textAlignment w:val="baseline"/>
              <w:rPr>
                <w:rFonts w:eastAsia="宋体" w:cs="Times New Roman"/>
                <w:sz w:val="20"/>
                <w:szCs w:val="20"/>
                <w:vertAlign w:val="baseline"/>
              </w:rPr>
            </w:pPr>
            <w:r>
              <w:rPr>
                <w:rFonts w:eastAsia="宋体" w:cs="Times New Roman"/>
                <w:sz w:val="18"/>
                <w:szCs w:val="18"/>
              </w:rPr>
              <w:t>FFS 2x2</w:t>
            </w:r>
          </w:p>
        </w:tc>
      </w:tr>
    </w:tbl>
    <w:p>
      <w:pPr>
        <w:pStyle w:val="32"/>
        <w:numPr>
          <w:ilvl w:val="0"/>
          <w:numId w:val="0"/>
        </w:numPr>
        <w:spacing w:after="120"/>
        <w:rPr>
          <w:rFonts w:hint="eastAsia" w:ascii="Times New Roman" w:hAnsi="Times New Roman" w:eastAsia="宋体" w:cs="Times New Roman"/>
          <w:b/>
          <w:bCs/>
          <w:i/>
          <w:iCs/>
          <w:kern w:val="2"/>
          <w:sz w:val="20"/>
          <w:szCs w:val="20"/>
          <w:lang w:val="en-US" w:eastAsia="zh-CN" w:bidi="ar-SA"/>
        </w:rPr>
      </w:pPr>
    </w:p>
    <w:p>
      <w:pPr>
        <w:pStyle w:val="32"/>
        <w:numPr>
          <w:ilvl w:val="0"/>
          <w:numId w:val="0"/>
        </w:numPr>
        <w:spacing w:after="120"/>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In general</w:t>
      </w:r>
      <w:r>
        <w:rPr>
          <w:rFonts w:hint="eastAsia" w:eastAsia="宋体" w:cs="Times New Roman"/>
          <w:kern w:val="2"/>
          <w:sz w:val="20"/>
          <w:szCs w:val="20"/>
          <w:lang w:val="en-US" w:eastAsia="zh-CN" w:bidi="ar-SA"/>
        </w:rPr>
        <w:t>, antenna configuration could support 2Tx for BS 1-C/1-H or BS 1-O.</w:t>
      </w:r>
    </w:p>
    <w:p>
      <w:pPr>
        <w:pStyle w:val="32"/>
        <w:numPr>
          <w:ilvl w:val="0"/>
          <w:numId w:val="0"/>
        </w:numPr>
        <w:spacing w:after="120"/>
        <w:rPr>
          <w:rFonts w:hint="eastAsia" w:ascii="Times New Roman" w:hAnsi="Times New Roman" w:eastAsia="宋体" w:cs="Times New Roman"/>
          <w:b/>
          <w:bCs/>
          <w:i/>
          <w:iCs/>
          <w:kern w:val="2"/>
          <w:sz w:val="20"/>
          <w:szCs w:val="20"/>
          <w:lang w:val="en-US" w:eastAsia="zh-CN" w:bidi="ar-SA"/>
        </w:rPr>
      </w:pPr>
    </w:p>
    <w:p>
      <w:pPr>
        <w:pStyle w:val="32"/>
        <w:numPr>
          <w:ilvl w:val="0"/>
          <w:numId w:val="0"/>
        </w:numPr>
        <w:spacing w:after="120"/>
        <w:rPr>
          <w:rFonts w:hint="default" w:ascii="Times New Roman" w:hAnsi="Times New Roman" w:eastAsia="宋体" w:cs="Times New Roman"/>
          <w:b/>
          <w:bCs/>
          <w:i/>
          <w:iCs/>
          <w:kern w:val="2"/>
          <w:sz w:val="20"/>
          <w:szCs w:val="20"/>
          <w:lang w:val="en-US" w:eastAsia="zh-CN" w:bidi="ar-SA"/>
        </w:rPr>
      </w:pPr>
      <w:r>
        <w:rPr>
          <w:rFonts w:hint="eastAsia" w:ascii="Times New Roman" w:hAnsi="Times New Roman" w:eastAsia="宋体" w:cs="Times New Roman"/>
          <w:b/>
          <w:bCs/>
          <w:i/>
          <w:iCs/>
          <w:kern w:val="2"/>
          <w:sz w:val="20"/>
          <w:szCs w:val="20"/>
          <w:lang w:val="en-US" w:eastAsia="zh-CN" w:bidi="ar-SA"/>
        </w:rPr>
        <w:t xml:space="preserve">Proposal </w:t>
      </w:r>
      <w:r>
        <w:rPr>
          <w:rFonts w:hint="eastAsia" w:eastAsia="宋体" w:cs="Times New Roman"/>
          <w:b/>
          <w:bCs/>
          <w:i/>
          <w:iCs/>
          <w:kern w:val="2"/>
          <w:sz w:val="20"/>
          <w:szCs w:val="20"/>
          <w:lang w:val="en-US" w:eastAsia="zh-CN" w:bidi="ar-SA"/>
        </w:rPr>
        <w:t>5</w:t>
      </w:r>
      <w:r>
        <w:rPr>
          <w:rFonts w:hint="eastAsia" w:ascii="Times New Roman" w:hAnsi="Times New Roman" w:eastAsia="宋体" w:cs="Times New Roman"/>
          <w:b/>
          <w:bCs/>
          <w:i/>
          <w:iCs/>
          <w:kern w:val="2"/>
          <w:sz w:val="20"/>
          <w:szCs w:val="20"/>
          <w:lang w:val="en-US" w:eastAsia="zh-CN" w:bidi="ar-SA"/>
        </w:rPr>
        <w:t>.</w:t>
      </w:r>
      <w:r>
        <w:rPr>
          <w:rFonts w:hint="eastAsia" w:eastAsia="宋体" w:cs="Times New Roman"/>
          <w:b/>
          <w:bCs/>
          <w:i/>
          <w:iCs/>
          <w:kern w:val="2"/>
          <w:sz w:val="20"/>
          <w:szCs w:val="20"/>
          <w:lang w:val="en-US" w:eastAsia="zh-CN" w:bidi="ar-SA"/>
        </w:rPr>
        <w:t xml:space="preserve"> To consider 2Tx for BS 1-C/1-H and BS 1-O.</w:t>
      </w:r>
    </w:p>
    <w:p>
      <w:pPr>
        <w:pStyle w:val="32"/>
        <w:numPr>
          <w:ilvl w:val="0"/>
          <w:numId w:val="0"/>
        </w:numPr>
        <w:spacing w:after="120"/>
        <w:rPr>
          <w:rFonts w:eastAsia="宋体" w:cs="Times New Roman"/>
          <w:sz w:val="20"/>
          <w:szCs w:val="20"/>
        </w:rPr>
      </w:pPr>
    </w:p>
    <w:p>
      <w:pPr>
        <w:pStyle w:val="32"/>
        <w:numPr>
          <w:ilvl w:val="0"/>
          <w:numId w:val="0"/>
        </w:numPr>
        <w:spacing w:after="120"/>
        <w:rPr>
          <w:rFonts w:eastAsia="宋体" w:cs="Times New Roman"/>
          <w:sz w:val="20"/>
          <w:szCs w:val="20"/>
        </w:rPr>
      </w:pPr>
      <w:r>
        <w:rPr>
          <w:rFonts w:hint="eastAsia" w:cs="Times New Roman"/>
          <w:b/>
          <w:kern w:val="0"/>
          <w:sz w:val="21"/>
          <w:szCs w:val="21"/>
          <w:lang w:val="en-US" w:eastAsia="zh-CN"/>
        </w:rPr>
        <w:t xml:space="preserve">2.5 </w:t>
      </w:r>
      <w:r>
        <w:rPr>
          <w:rFonts w:hint="eastAsia" w:ascii="Times New Roman" w:hAnsi="Times New Roman" w:eastAsia="宋体" w:cs="Times New Roman"/>
          <w:b/>
          <w:kern w:val="0"/>
          <w:sz w:val="21"/>
          <w:szCs w:val="21"/>
          <w:lang w:val="en-US" w:eastAsia="zh-CN" w:bidi="ar-SA"/>
        </w:rPr>
        <w:t xml:space="preserve"> </w:t>
      </w:r>
      <w:r>
        <w:rPr>
          <w:rFonts w:hint="eastAsia" w:ascii="Times New Roman" w:hAnsi="Times New Roman" w:eastAsia="宋体" w:cs="Times New Roman"/>
          <w:b/>
          <w:kern w:val="0"/>
          <w:sz w:val="21"/>
          <w:szCs w:val="21"/>
          <w:lang w:val="en-US" w:eastAsia="ko-KR" w:bidi="ar-SA"/>
        </w:rPr>
        <w:t>Rank and 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18"/>
                <w:szCs w:val="18"/>
                <w:u w:val="single"/>
                <w:lang w:eastAsia="ko-KR"/>
              </w:rPr>
            </w:pPr>
            <w:r>
              <w:rPr>
                <w:b/>
                <w:sz w:val="18"/>
                <w:szCs w:val="18"/>
                <w:u w:val="single"/>
                <w:lang w:eastAsia="ko-KR"/>
              </w:rPr>
              <w:t xml:space="preserve">Issue </w:t>
            </w:r>
            <w:r>
              <w:rPr>
                <w:rFonts w:hint="eastAsia"/>
                <w:b/>
                <w:sz w:val="18"/>
                <w:szCs w:val="18"/>
                <w:u w:val="single"/>
                <w:lang w:val="en-US" w:eastAsia="zh-CN"/>
              </w:rPr>
              <w:t>2</w:t>
            </w:r>
            <w:r>
              <w:rPr>
                <w:b/>
                <w:sz w:val="18"/>
                <w:szCs w:val="18"/>
                <w:u w:val="single"/>
                <w:lang w:eastAsia="ko-KR"/>
              </w:rPr>
              <w:t>-</w:t>
            </w:r>
            <w:r>
              <w:rPr>
                <w:rFonts w:hint="eastAsia"/>
                <w:b/>
                <w:sz w:val="18"/>
                <w:szCs w:val="18"/>
                <w:u w:val="single"/>
                <w:lang w:val="en-US" w:eastAsia="zh-CN"/>
              </w:rPr>
              <w:t>4</w:t>
            </w:r>
            <w:r>
              <w:rPr>
                <w:b/>
                <w:sz w:val="18"/>
                <w:szCs w:val="18"/>
                <w:u w:val="single"/>
                <w:lang w:eastAsia="ko-KR"/>
              </w:rPr>
              <w:t>-5: Rank and MCS</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eastAsia="宋体" w:cs="Times New Roman"/>
                <w:sz w:val="18"/>
                <w:szCs w:val="18"/>
              </w:rPr>
              <w:t xml:space="preserve">Option 1: </w:t>
            </w:r>
            <w:r>
              <w:rPr>
                <w:rFonts w:hint="eastAsia" w:eastAsia="宋体" w:cs="Times New Roman"/>
                <w:sz w:val="18"/>
                <w:szCs w:val="18"/>
              </w:rPr>
              <w:t xml:space="preserve">for rank, both rank1 and rank2; for MCS, </w:t>
            </w:r>
            <w:r>
              <w:rPr>
                <w:rFonts w:eastAsia="宋体" w:cs="Times New Roman"/>
                <w:sz w:val="18"/>
                <w:szCs w:val="18"/>
              </w:rPr>
              <w:t>16QAM, 64QAM and 256QAM.</w:t>
            </w:r>
          </w:p>
          <w:p>
            <w:pPr>
              <w:pStyle w:val="32"/>
              <w:numPr>
                <w:ilvl w:val="0"/>
                <w:numId w:val="7"/>
              </w:numPr>
              <w:overflowPunct w:val="0"/>
              <w:autoSpaceDE w:val="0"/>
              <w:autoSpaceDN w:val="0"/>
              <w:adjustRightInd w:val="0"/>
              <w:spacing w:after="120"/>
              <w:ind w:firstLineChars="0"/>
              <w:textAlignment w:val="baseline"/>
              <w:rPr>
                <w:rFonts w:eastAsia="宋体" w:cs="Times New Roman"/>
                <w:sz w:val="18"/>
                <w:szCs w:val="18"/>
              </w:rPr>
            </w:pPr>
            <w:r>
              <w:rPr>
                <w:rFonts w:hint="eastAsia" w:eastAsia="宋体" w:cs="Times New Roman"/>
                <w:sz w:val="18"/>
                <w:szCs w:val="18"/>
              </w:rPr>
              <w:t>Option 2</w:t>
            </w:r>
            <w:r>
              <w:rPr>
                <w:rFonts w:eastAsia="宋体" w:cs="Times New Roman"/>
                <w:sz w:val="18"/>
                <w:szCs w:val="18"/>
              </w:rPr>
              <w:t>: For MCS and rank should be selected based on link budget evaluation after the impact of the TN network to the ATG network is clear</w:t>
            </w:r>
            <w:r>
              <w:rPr>
                <w:rFonts w:hint="eastAsia" w:eastAsia="宋体" w:cs="Times New Roman"/>
                <w:sz w:val="18"/>
                <w:szCs w:val="18"/>
              </w:rPr>
              <w:t xml:space="preserve"> </w:t>
            </w:r>
          </w:p>
          <w:p>
            <w:pPr>
              <w:pStyle w:val="32"/>
              <w:numPr>
                <w:ilvl w:val="0"/>
                <w:numId w:val="7"/>
              </w:numPr>
              <w:overflowPunct w:val="0"/>
              <w:autoSpaceDE w:val="0"/>
              <w:autoSpaceDN w:val="0"/>
              <w:adjustRightInd w:val="0"/>
              <w:spacing w:after="120"/>
              <w:ind w:firstLineChars="0"/>
              <w:textAlignment w:val="baseline"/>
              <w:rPr>
                <w:b/>
                <w:sz w:val="20"/>
                <w:szCs w:val="20"/>
                <w:u w:val="single"/>
                <w:vertAlign w:val="baseline"/>
                <w:lang w:eastAsia="ko-KR"/>
              </w:rPr>
            </w:pPr>
            <w:r>
              <w:rPr>
                <w:rFonts w:hint="eastAsia" w:eastAsia="宋体" w:cs="Times New Roman"/>
                <w:sz w:val="18"/>
                <w:szCs w:val="18"/>
              </w:rPr>
              <w:t>O</w:t>
            </w:r>
            <w:r>
              <w:rPr>
                <w:rFonts w:eastAsia="宋体" w:cs="Times New Roman"/>
                <w:sz w:val="18"/>
                <w:szCs w:val="18"/>
              </w:rPr>
              <w:t>ption 3: More robust MCS scheme than HST UE can be considered for PDSCH/PUSCH performance requirements.</w:t>
            </w:r>
          </w:p>
        </w:tc>
      </w:tr>
    </w:tbl>
    <w:p>
      <w:pPr>
        <w:rPr>
          <w:rFonts w:hint="eastAsia" w:ascii="Times New Roman" w:hAnsi="Times New Roman" w:eastAsia="宋体" w:cs="Times New Roman"/>
          <w:kern w:val="2"/>
          <w:sz w:val="20"/>
          <w:szCs w:val="20"/>
          <w:lang w:val="en-US" w:eastAsia="ko-KR" w:bidi="ar-SA"/>
        </w:rPr>
      </w:pPr>
      <w:r>
        <w:rPr>
          <w:rFonts w:hint="eastAsia" w:ascii="Times New Roman" w:hAnsi="Times New Roman" w:eastAsia="宋体" w:cs="Times New Roman"/>
          <w:kern w:val="2"/>
          <w:sz w:val="20"/>
          <w:szCs w:val="20"/>
          <w:lang w:val="en-US" w:eastAsia="ko-KR" w:bidi="ar-SA"/>
        </w:rPr>
        <w:t>With regard to MCS and rank, the MCS corresponding to 16QAM, 64QAM and 256QAM can be considered with rank 1 to be supported.</w:t>
      </w:r>
    </w:p>
    <w:p>
      <w:pPr>
        <w:pStyle w:val="32"/>
        <w:numPr>
          <w:ilvl w:val="0"/>
          <w:numId w:val="0"/>
        </w:numPr>
        <w:spacing w:after="120"/>
        <w:rPr>
          <w:rFonts w:hint="default" w:ascii="Times New Roman" w:hAnsi="Times New Roman" w:eastAsia="宋体" w:cs="Times New Roman"/>
          <w:b/>
          <w:bCs/>
          <w:i/>
          <w:iCs/>
          <w:kern w:val="2"/>
          <w:sz w:val="20"/>
          <w:szCs w:val="20"/>
          <w:lang w:val="en-US" w:eastAsia="zh-CN" w:bidi="ar-SA"/>
        </w:rPr>
      </w:pPr>
      <w:r>
        <w:rPr>
          <w:rFonts w:hint="eastAsia" w:ascii="Times New Roman" w:hAnsi="Times New Roman" w:eastAsia="宋体" w:cs="Times New Roman"/>
          <w:b/>
          <w:bCs/>
          <w:i/>
          <w:iCs/>
          <w:kern w:val="2"/>
          <w:sz w:val="20"/>
          <w:szCs w:val="20"/>
          <w:lang w:val="en-US" w:eastAsia="zh-CN" w:bidi="ar-SA"/>
        </w:rPr>
        <w:t xml:space="preserve">Proposal </w:t>
      </w:r>
      <w:r>
        <w:rPr>
          <w:rFonts w:hint="eastAsia" w:eastAsia="宋体" w:cs="Times New Roman"/>
          <w:b/>
          <w:bCs/>
          <w:i/>
          <w:iCs/>
          <w:kern w:val="2"/>
          <w:sz w:val="20"/>
          <w:szCs w:val="20"/>
          <w:lang w:val="en-US" w:eastAsia="zh-CN" w:bidi="ar-SA"/>
        </w:rPr>
        <w:t>6. To consider rank1 and 16QAM, 64QAM and</w:t>
      </w:r>
      <w:r>
        <w:rPr>
          <w:rFonts w:hint="eastAsia" w:eastAsia="宋体" w:cs="Times New Roman"/>
          <w:b/>
          <w:bCs/>
          <w:i/>
          <w:iCs/>
          <w:kern w:val="2"/>
          <w:sz w:val="20"/>
          <w:szCs w:val="20"/>
          <w:highlight w:val="none"/>
          <w:lang w:val="en-US" w:eastAsia="zh-CN" w:bidi="ar-SA"/>
        </w:rPr>
        <w:t xml:space="preserve"> 256QAM </w:t>
      </w:r>
      <w:r>
        <w:rPr>
          <w:rFonts w:hint="eastAsia" w:eastAsia="宋体" w:cs="Times New Roman"/>
          <w:b/>
          <w:bCs/>
          <w:i/>
          <w:iCs/>
          <w:kern w:val="2"/>
          <w:sz w:val="20"/>
          <w:szCs w:val="20"/>
          <w:lang w:val="en-US" w:eastAsia="zh-CN" w:bidi="ar-SA"/>
        </w:rPr>
        <w:t>for ATG performance requirements.</w:t>
      </w:r>
    </w:p>
    <w:p>
      <w:pPr>
        <w:rPr>
          <w:rFonts w:hint="default" w:ascii="Times New Roman" w:hAnsi="Times New Roman" w:eastAsia="Times New Roman" w:cs="Times New Roman"/>
          <w:b/>
          <w:kern w:val="0"/>
          <w:sz w:val="21"/>
          <w:szCs w:val="21"/>
          <w:lang w:val="en-US" w:eastAsia="zh-CN" w:bidi="ar-SA"/>
        </w:rPr>
      </w:pPr>
      <w:r>
        <w:rPr>
          <w:rFonts w:hint="eastAsia" w:ascii="Times New Roman" w:hAnsi="Times New Roman" w:eastAsia="Times New Roman" w:cs="Times New Roman"/>
          <w:b/>
          <w:kern w:val="0"/>
          <w:sz w:val="21"/>
          <w:szCs w:val="21"/>
          <w:lang w:val="en-US" w:eastAsia="zh-CN" w:bidi="ar-SA"/>
        </w:rPr>
        <w:t>2.6 Transform precoding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18"/>
                <w:szCs w:val="18"/>
                <w:u w:val="single"/>
                <w:lang w:eastAsia="ko-KR"/>
              </w:rPr>
            </w:pPr>
            <w:r>
              <w:rPr>
                <w:b/>
                <w:sz w:val="18"/>
                <w:szCs w:val="18"/>
                <w:u w:val="single"/>
                <w:lang w:eastAsia="ko-KR"/>
              </w:rPr>
              <w:t xml:space="preserve">Issue </w:t>
            </w:r>
            <w:r>
              <w:rPr>
                <w:rFonts w:hint="eastAsia"/>
                <w:b/>
                <w:sz w:val="18"/>
                <w:szCs w:val="18"/>
                <w:u w:val="single"/>
                <w:lang w:val="en-US" w:eastAsia="zh-CN"/>
              </w:rPr>
              <w:t>2</w:t>
            </w:r>
            <w:r>
              <w:rPr>
                <w:b/>
                <w:sz w:val="18"/>
                <w:szCs w:val="18"/>
                <w:u w:val="single"/>
                <w:lang w:eastAsia="ko-KR"/>
              </w:rPr>
              <w:t>-</w:t>
            </w:r>
            <w:r>
              <w:rPr>
                <w:rFonts w:hint="eastAsia"/>
                <w:b/>
                <w:sz w:val="18"/>
                <w:szCs w:val="18"/>
                <w:u w:val="single"/>
                <w:lang w:val="en-US" w:eastAsia="zh-CN"/>
              </w:rPr>
              <w:t>4</w:t>
            </w:r>
            <w:r>
              <w:rPr>
                <w:b/>
                <w:sz w:val="18"/>
                <w:szCs w:val="18"/>
                <w:u w:val="single"/>
                <w:lang w:eastAsia="ko-KR"/>
              </w:rPr>
              <w:t>-6: Transform precoding</w:t>
            </w:r>
          </w:p>
          <w:p>
            <w:pPr>
              <w:pStyle w:val="32"/>
              <w:numPr>
                <w:ilvl w:val="0"/>
                <w:numId w:val="7"/>
              </w:numPr>
              <w:overflowPunct w:val="0"/>
              <w:autoSpaceDE w:val="0"/>
              <w:autoSpaceDN w:val="0"/>
              <w:adjustRightInd w:val="0"/>
              <w:spacing w:after="120"/>
              <w:ind w:firstLineChars="0"/>
              <w:textAlignment w:val="baseline"/>
              <w:rPr>
                <w:b/>
                <w:sz w:val="20"/>
                <w:szCs w:val="20"/>
                <w:u w:val="single"/>
                <w:vertAlign w:val="baseline"/>
                <w:lang w:eastAsia="ko-KR"/>
              </w:rPr>
            </w:pPr>
            <w:r>
              <w:rPr>
                <w:rFonts w:eastAsia="宋体" w:cs="Times New Roman"/>
                <w:sz w:val="18"/>
                <w:szCs w:val="18"/>
              </w:rPr>
              <w:t>Option 1: Consider CP-OFDM and DFT-S-OFDM waveform for requirement definition.</w:t>
            </w:r>
          </w:p>
        </w:tc>
      </w:tr>
    </w:tbl>
    <w:p>
      <w:pPr>
        <w:pStyle w:val="32"/>
        <w:numPr>
          <w:ilvl w:val="0"/>
          <w:numId w:val="0"/>
        </w:numPr>
        <w:spacing w:after="120"/>
        <w:rPr>
          <w:rFonts w:hint="eastAsia" w:ascii="Times New Roman" w:hAnsi="Times New Roman" w:eastAsia="宋体" w:cs="Times New Roman"/>
          <w:b/>
          <w:bCs/>
          <w:i/>
          <w:iCs/>
          <w:kern w:val="2"/>
          <w:sz w:val="20"/>
          <w:szCs w:val="20"/>
          <w:highlight w:val="none"/>
          <w:lang w:val="en-US" w:eastAsia="zh-CN" w:bidi="ar-SA"/>
        </w:rPr>
      </w:pPr>
    </w:p>
    <w:p>
      <w:pPr>
        <w:pStyle w:val="32"/>
        <w:numPr>
          <w:ilvl w:val="0"/>
          <w:numId w:val="0"/>
        </w:numPr>
        <w:spacing w:after="120"/>
        <w:rPr>
          <w:rFonts w:hint="default" w:ascii="Times New Roman" w:hAnsi="Times New Roman" w:eastAsia="宋体" w:cs="Times New Roman"/>
          <w:b/>
          <w:bCs/>
          <w:i/>
          <w:iCs/>
          <w:kern w:val="2"/>
          <w:sz w:val="20"/>
          <w:szCs w:val="20"/>
          <w:highlight w:val="none"/>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eastAsia="宋体" w:cs="Times New Roman"/>
          <w:b/>
          <w:bCs/>
          <w:i/>
          <w:iCs/>
          <w:kern w:val="2"/>
          <w:sz w:val="20"/>
          <w:szCs w:val="20"/>
          <w:highlight w:val="none"/>
          <w:lang w:val="en-US" w:eastAsia="zh-CN" w:bidi="ar-SA"/>
        </w:rPr>
        <w:t>7</w:t>
      </w:r>
      <w:r>
        <w:rPr>
          <w:rFonts w:hint="eastAsia" w:ascii="Times New Roman" w:hAnsi="Times New Roman" w:eastAsia="宋体" w:cs="Times New Roman"/>
          <w:b/>
          <w:bCs/>
          <w:i/>
          <w:iCs/>
          <w:kern w:val="2"/>
          <w:sz w:val="20"/>
          <w:szCs w:val="20"/>
          <w:highlight w:val="none"/>
          <w:lang w:val="en-US" w:eastAsia="zh-CN" w:bidi="ar-SA"/>
        </w:rPr>
        <w:t>.</w:t>
      </w:r>
      <w:r>
        <w:rPr>
          <w:rFonts w:hint="eastAsia" w:eastAsia="宋体" w:cs="Times New Roman"/>
          <w:b/>
          <w:bCs/>
          <w:i/>
          <w:iCs/>
          <w:kern w:val="2"/>
          <w:sz w:val="20"/>
          <w:szCs w:val="20"/>
          <w:highlight w:val="none"/>
          <w:lang w:val="en-US" w:eastAsia="zh-CN" w:bidi="ar-SA"/>
        </w:rPr>
        <w:t xml:space="preserve"> To consider CP-OFDM and DFT-S-OFDM waveform for requirement definition.</w:t>
      </w: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ascii="Times New Roman" w:hAnsi="Times New Roman" w:eastAsia="宋体" w:cs="Times New Roman"/>
          <w:b/>
          <w:kern w:val="0"/>
          <w:sz w:val="21"/>
          <w:szCs w:val="21"/>
          <w:lang w:val="en-US" w:eastAsia="zh-CN" w:bidi="ar-SA"/>
        </w:rPr>
      </w:pPr>
    </w:p>
    <w:p>
      <w:pPr>
        <w:rPr>
          <w:rFonts w:hint="eastAsia" w:cs="Times New Roman"/>
          <w:b/>
          <w:kern w:val="0"/>
          <w:sz w:val="21"/>
          <w:szCs w:val="21"/>
          <w:lang w:val="en-US" w:eastAsia="zh-CN" w:bidi="ar-SA"/>
        </w:rPr>
      </w:pPr>
      <w:r>
        <w:rPr>
          <w:rFonts w:hint="eastAsia" w:ascii="Times New Roman" w:hAnsi="Times New Roman" w:eastAsia="宋体" w:cs="Times New Roman"/>
          <w:b/>
          <w:kern w:val="0"/>
          <w:sz w:val="21"/>
          <w:szCs w:val="21"/>
          <w:lang w:val="en-US" w:eastAsia="zh-CN" w:bidi="ar-SA"/>
        </w:rPr>
        <w:t xml:space="preserve">2.7 </w:t>
      </w:r>
      <w:r>
        <w:rPr>
          <w:rFonts w:hint="eastAsia" w:cs="Times New Roman"/>
          <w:b/>
          <w:kern w:val="0"/>
          <w:sz w:val="21"/>
          <w:szCs w:val="21"/>
          <w:lang w:val="en-US" w:eastAsia="zh-CN" w:bidi="ar-SA"/>
        </w:rPr>
        <w:t xml:space="preserve"> </w:t>
      </w:r>
      <w:r>
        <w:rPr>
          <w:rFonts w:hint="eastAsia" w:ascii="Times New Roman" w:hAnsi="Times New Roman" w:eastAsia="宋体" w:cs="Times New Roman"/>
          <w:b/>
          <w:kern w:val="0"/>
          <w:sz w:val="21"/>
          <w:szCs w:val="21"/>
          <w:lang w:val="en-US" w:eastAsia="zh-CN" w:bidi="ar-SA"/>
        </w:rPr>
        <w:t>Other parameters</w:t>
      </w:r>
      <w:r>
        <w:rPr>
          <w:rFonts w:hint="eastAsia" w:cs="Times New Roman"/>
          <w:b/>
          <w:kern w:val="0"/>
          <w:sz w:val="21"/>
          <w:szCs w:val="21"/>
          <w:lang w:val="en-US" w:eastAsia="zh-CN" w:bidi="ar-SA"/>
        </w:rPr>
        <w:t xml:space="preserve"> for PUSCH</w:t>
      </w:r>
    </w:p>
    <w:p>
      <w:pPr>
        <w:jc w:val="center"/>
        <w:rPr>
          <w:rFonts w:hint="default" w:ascii="Times New Roman" w:hAnsi="Times New Roman" w:eastAsia="宋体" w:cs="Times New Roman"/>
          <w:b/>
          <w:kern w:val="0"/>
          <w:sz w:val="18"/>
          <w:szCs w:val="18"/>
          <w:lang w:val="en-US" w:eastAsia="zh-CN" w:bidi="ar-SA"/>
        </w:rPr>
      </w:pPr>
      <w:r>
        <w:rPr>
          <w:rFonts w:hint="eastAsia" w:cs="Times New Roman"/>
          <w:b/>
          <w:kern w:val="0"/>
          <w:sz w:val="18"/>
          <w:szCs w:val="18"/>
          <w:lang w:val="en-US" w:eastAsia="zh-CN" w:bidi="ar-SA"/>
        </w:rPr>
        <w:t>Table 2-1 . Simulation assumptions for PUSCH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29"/>
        <w:gridCol w:w="4700"/>
        <w:gridCol w:w="319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6" w:hRule="atLeast"/>
          <w:jc w:val="center"/>
        </w:trPr>
        <w:tc>
          <w:tcPr>
            <w:tcW w:w="6429" w:type="dxa"/>
            <w:gridSpan w:val="2"/>
          </w:tcPr>
          <w:p>
            <w:pPr>
              <w:pStyle w:val="64"/>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Parameter</w:t>
            </w:r>
          </w:p>
        </w:tc>
        <w:tc>
          <w:tcPr>
            <w:tcW w:w="3190" w:type="dxa"/>
          </w:tcPr>
          <w:p>
            <w:pPr>
              <w:pStyle w:val="64"/>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restart"/>
            <w:tcBorders>
              <w:top w:val="single" w:color="auto" w:sz="6" w:space="0"/>
            </w:tcBorders>
            <w:vAlign w:val="top"/>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HARQ</w:t>
            </w:r>
          </w:p>
        </w:tc>
        <w:tc>
          <w:tcPr>
            <w:tcW w:w="4700" w:type="dxa"/>
            <w:vAlign w:val="top"/>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Maximum number of HARQ transmissions</w:t>
            </w:r>
          </w:p>
        </w:tc>
        <w:tc>
          <w:tcPr>
            <w:tcW w:w="3190" w:type="dxa"/>
            <w:vAlign w:val="top"/>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default" w:eastAsia="宋体" w:cs="Arial"/>
                <w:sz w:val="15"/>
                <w:szCs w:val="15"/>
                <w:lang w:val="en-US" w:eastAsia="zh-CN"/>
              </w:rPr>
            </w:pPr>
            <w:r>
              <w:rPr>
                <w:rFonts w:cs="Arial"/>
                <w:sz w:val="15"/>
                <w:szCs w:val="15"/>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Borders>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RV sequence</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restart"/>
            <w:tcBorders>
              <w:top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DM-RS</w:t>
            </w: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DM-RS configuration type</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lang w:val="fr-FR"/>
              </w:rPr>
            </w:pPr>
            <w:r>
              <w:rPr>
                <w:rFonts w:cs="Arial"/>
                <w:sz w:val="15"/>
                <w:szCs w:val="15"/>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DM-RS duration</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sz w:val="15"/>
                <w:szCs w:val="15"/>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lang w:eastAsia="zh-CN"/>
              </w:rPr>
              <w:t>Additional DM-RS position</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rFonts w:cs="Arial"/>
                <w:sz w:val="15"/>
                <w:szCs w:val="15"/>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lang w:eastAsia="zh-CN"/>
              </w:rPr>
            </w:pPr>
            <w:r>
              <w:rPr>
                <w:sz w:val="15"/>
                <w:szCs w:val="15"/>
              </w:rPr>
              <w:t>Number of DM-RS CDM group(s) without data</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Ratio of PUSCH EPRE to DM-RS EPRE</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DM-RS port</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eastAsia" w:eastAsia="宋体" w:cs="Arial"/>
                <w:sz w:val="15"/>
                <w:szCs w:val="15"/>
                <w:lang w:val="en-US" w:eastAsia="zh-CN"/>
              </w:rPr>
            </w:pPr>
            <w:r>
              <w:rPr>
                <w:rFonts w:cs="Arial"/>
                <w:sz w:val="15"/>
                <w:szCs w:val="15"/>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Borders>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DM-RS sequence generation</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N</w:t>
            </w:r>
            <w:r>
              <w:rPr>
                <w:rFonts w:cs="Arial"/>
                <w:sz w:val="15"/>
                <w:szCs w:val="15"/>
                <w:vertAlign w:val="subscript"/>
              </w:rPr>
              <w:t>ID</w:t>
            </w:r>
            <w:r>
              <w:rPr>
                <w:rFonts w:cs="Arial"/>
                <w:sz w:val="15"/>
                <w:szCs w:val="15"/>
                <w:vertAlign w:val="superscript"/>
              </w:rPr>
              <w:t>0</w:t>
            </w:r>
            <w:r>
              <w:rPr>
                <w:rFonts w:cs="Arial"/>
                <w:sz w:val="15"/>
                <w:szCs w:val="15"/>
              </w:rPr>
              <w:t>=0, n</w:t>
            </w:r>
            <w:r>
              <w:rPr>
                <w:rFonts w:cs="Arial"/>
                <w:sz w:val="15"/>
                <w:szCs w:val="15"/>
                <w:vertAlign w:val="subscript"/>
              </w:rPr>
              <w:t>SCID</w:t>
            </w:r>
            <w:r>
              <w:rPr>
                <w:rFonts w:cs="Arial"/>
                <w:sz w:val="15"/>
                <w:szCs w:val="15"/>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restart"/>
            <w:tcBorders>
              <w:top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Time domain</w:t>
            </w:r>
          </w:p>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resource</w:t>
            </w:r>
          </w:p>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assignment</w:t>
            </w:r>
          </w:p>
        </w:tc>
        <w:tc>
          <w:tcPr>
            <w:tcW w:w="4700"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rFonts w:eastAsia="Batang"/>
                <w:sz w:val="15"/>
                <w:szCs w:val="15"/>
              </w:rPr>
              <w:t>PUSCH mapping type</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default" w:eastAsia="宋体" w:cs="Arial"/>
                <w:sz w:val="15"/>
                <w:szCs w:val="15"/>
                <w:lang w:val="en-US" w:eastAsia="zh-CN"/>
              </w:rPr>
            </w:pPr>
            <w:r>
              <w:rPr>
                <w:rFonts w:cs="Arial"/>
                <w:sz w:val="15"/>
                <w:szCs w:val="15"/>
              </w:rPr>
              <w:t>A</w:t>
            </w:r>
            <w:r>
              <w:rPr>
                <w:rFonts w:hint="eastAsia" w:cs="Arial"/>
                <w:sz w:val="15"/>
                <w:szCs w:val="15"/>
                <w:lang w:val="en-US" w:eastAsia="zh-CN"/>
              </w:rPr>
              <w:t>,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rFonts w:eastAsia="Batang"/>
                <w:sz w:val="15"/>
                <w:szCs w:val="15"/>
              </w:rPr>
            </w:pPr>
            <w:r>
              <w:rPr>
                <w:sz w:val="15"/>
                <w:szCs w:val="15"/>
              </w:rPr>
              <w:t>Start symbol</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1729" w:type="dxa"/>
            <w:vMerge w:val="continue"/>
            <w:tcBorders>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p>
        </w:tc>
        <w:tc>
          <w:tcPr>
            <w:tcW w:w="4700"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Allocation length</w:t>
            </w:r>
          </w:p>
        </w:tc>
        <w:tc>
          <w:tcPr>
            <w:tcW w:w="3190"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6429" w:type="dxa"/>
            <w:gridSpan w:val="2"/>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sz w:val="15"/>
                <w:szCs w:val="15"/>
              </w:rPr>
              <w:t>Code block group based PUSCH transmission</w:t>
            </w:r>
          </w:p>
        </w:tc>
        <w:tc>
          <w:tcPr>
            <w:tcW w:w="3190" w:type="dxa"/>
            <w:vAlign w:val="center"/>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cs="Arial"/>
                <w:sz w:val="15"/>
                <w:szCs w:val="15"/>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50" w:hRule="atLeast"/>
          <w:jc w:val="center"/>
        </w:trPr>
        <w:tc>
          <w:tcPr>
            <w:tcW w:w="6429" w:type="dxa"/>
            <w:gridSpan w:val="2"/>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sz w:val="15"/>
                <w:szCs w:val="15"/>
              </w:rPr>
            </w:pPr>
            <w:r>
              <w:rPr>
                <w:rFonts w:hint="eastAsia"/>
                <w:sz w:val="15"/>
                <w:szCs w:val="15"/>
              </w:rPr>
              <w:t>Test metric</w:t>
            </w:r>
          </w:p>
        </w:tc>
        <w:tc>
          <w:tcPr>
            <w:tcW w:w="3190" w:type="dxa"/>
            <w:vAlign w:val="center"/>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sz w:val="15"/>
                <w:szCs w:val="15"/>
              </w:rPr>
            </w:pPr>
            <w:r>
              <w:rPr>
                <w:rFonts w:hint="eastAsia" w:cs="Arial"/>
                <w:sz w:val="15"/>
                <w:szCs w:val="15"/>
              </w:rPr>
              <w:t xml:space="preserve">SNR @ %70 of maximum Throughput </w:t>
            </w:r>
          </w:p>
        </w:tc>
      </w:tr>
    </w:tbl>
    <w:p>
      <w:pPr>
        <w:rPr>
          <w:b/>
          <w:sz w:val="20"/>
          <w:szCs w:val="20"/>
          <w:u w:val="single"/>
          <w:lang w:eastAsia="ko-KR"/>
        </w:rPr>
      </w:pPr>
    </w:p>
    <w:p>
      <w:pPr>
        <w:rPr>
          <w:rFonts w:hint="default" w:cs="Times New Roman"/>
          <w:b/>
          <w:kern w:val="0"/>
          <w:sz w:val="24"/>
          <w:szCs w:val="24"/>
          <w:lang w:val="en-US" w:eastAsia="zh-CN"/>
        </w:rPr>
      </w:pPr>
      <w:r>
        <w:rPr>
          <w:rFonts w:hint="eastAsia" w:ascii="Times New Roman" w:hAnsi="Times New Roman" w:eastAsia="宋体" w:cs="Times New Roman"/>
          <w:b/>
          <w:bCs/>
          <w:i/>
          <w:iCs/>
          <w:kern w:val="2"/>
          <w:sz w:val="20"/>
          <w:szCs w:val="20"/>
          <w:lang w:val="en-US" w:eastAsia="zh-CN" w:bidi="ar-SA"/>
        </w:rPr>
        <w:t xml:space="preserve">Proposal </w:t>
      </w:r>
      <w:r>
        <w:rPr>
          <w:rFonts w:hint="eastAsia" w:cs="Times New Roman"/>
          <w:b/>
          <w:bCs/>
          <w:i/>
          <w:iCs/>
          <w:kern w:val="2"/>
          <w:sz w:val="20"/>
          <w:szCs w:val="20"/>
          <w:lang w:val="en-US" w:eastAsia="zh-CN" w:bidi="ar-SA"/>
        </w:rPr>
        <w:t>8. To consider Table 2-1 for PUSCH simulation assumptions.</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BS demodulation performance requirements for ATG , The conclusions are:</w:t>
      </w:r>
    </w:p>
    <w:p>
      <w:pPr>
        <w:pStyle w:val="62"/>
        <w:keepLines w:val="0"/>
        <w:widowControl w:val="0"/>
        <w:spacing w:before="120" w:after="120"/>
        <w:ind w:left="0" w:firstLine="0"/>
        <w:rPr>
          <w:rFonts w:hint="eastAsia"/>
          <w:bCs/>
          <w:kern w:val="0"/>
          <w:sz w:val="21"/>
          <w:szCs w:val="21"/>
          <w:highlight w:val="none"/>
          <w:lang w:val="en-US" w:eastAsia="zh-CN"/>
        </w:rPr>
      </w:pPr>
      <w:r>
        <w:rPr>
          <w:rFonts w:hint="eastAsia"/>
          <w:b/>
          <w:bCs/>
          <w:i/>
          <w:iCs/>
          <w:kern w:val="2"/>
          <w:lang w:val="en-US" w:eastAsia="zh-CN"/>
        </w:rPr>
        <w:t>Observation 1. There is no PUSCH and PUCCH requirement defined for AWGN channel model in TS 38.104.</w:t>
      </w:r>
    </w:p>
    <w:p>
      <w:pPr>
        <w:spacing w:before="120" w:after="120"/>
        <w:rPr>
          <w:rFonts w:hint="eastAsia"/>
          <w:b/>
          <w:bCs/>
          <w:i/>
          <w:iCs/>
          <w:kern w:val="2"/>
          <w:lang w:val="en-US" w:eastAsia="zh-CN"/>
        </w:rPr>
      </w:pPr>
      <w:r>
        <w:rPr>
          <w:rFonts w:hint="eastAsia"/>
          <w:b/>
          <w:bCs/>
          <w:i/>
          <w:iCs/>
          <w:kern w:val="2"/>
          <w:lang w:val="en-US" w:eastAsia="zh-CN"/>
        </w:rPr>
        <w:t xml:space="preserve">Proposal 1. To define new dedicated requirements for PUSCH/PUCCH for AGWN channel model. </w:t>
      </w:r>
    </w:p>
    <w:p>
      <w:pPr>
        <w:spacing w:before="120" w:after="120"/>
        <w:rPr>
          <w:rFonts w:hint="eastAsia"/>
          <w:b/>
          <w:bCs/>
          <w:i/>
          <w:iCs/>
          <w:kern w:val="2"/>
          <w:lang w:val="en-US" w:eastAsia="zh-CN"/>
        </w:rPr>
      </w:pPr>
      <w:r>
        <w:rPr>
          <w:rFonts w:hint="eastAsia"/>
          <w:b/>
          <w:bCs/>
          <w:i/>
          <w:iCs/>
          <w:kern w:val="2"/>
          <w:lang w:val="en-US" w:eastAsia="zh-CN"/>
        </w:rPr>
        <w:t xml:space="preserve">Proposal 2. </w:t>
      </w:r>
      <w:r>
        <w:rPr>
          <w:rFonts w:hint="eastAsia"/>
          <w:b/>
          <w:bCs/>
          <w:i/>
          <w:iCs/>
          <w:kern w:val="2"/>
          <w:highlight w:val="none"/>
          <w:lang w:val="en-US" w:eastAsia="zh-CN"/>
        </w:rPr>
        <w:t xml:space="preserve">Only consider long format 0 for PRACH. </w:t>
      </w:r>
    </w:p>
    <w:p>
      <w:pPr>
        <w:spacing w:before="120" w:after="120"/>
        <w:rPr>
          <w:rFonts w:hint="default" w:cs="Times New Roman"/>
          <w:kern w:val="2"/>
          <w:sz w:val="21"/>
          <w:szCs w:val="22"/>
          <w:highlight w:val="none"/>
          <w:lang w:val="en-US" w:eastAsia="zh-CN" w:bidi="ar-SA"/>
        </w:rPr>
      </w:pPr>
      <w:r>
        <w:rPr>
          <w:rFonts w:hint="eastAsia"/>
          <w:b/>
          <w:bCs/>
          <w:i/>
          <w:iCs/>
          <w:kern w:val="2"/>
          <w:lang w:val="en-US" w:eastAsia="zh-CN"/>
        </w:rPr>
        <w:t>Proposal 3. To consider 10MHz for FDD and 40MHz or 100MHz for TDD band.</w:t>
      </w:r>
    </w:p>
    <w:p>
      <w:pPr>
        <w:pStyle w:val="62"/>
        <w:keepLines w:val="0"/>
        <w:widowControl w:val="0"/>
        <w:spacing w:before="120" w:after="120"/>
        <w:ind w:left="0" w:firstLine="0"/>
        <w:rPr>
          <w:rFonts w:hint="default"/>
          <w:b/>
          <w:bCs/>
          <w:i/>
          <w:iCs/>
          <w:kern w:val="2"/>
          <w:highlight w:val="none"/>
          <w:lang w:val="en-US" w:eastAsia="zh-CN"/>
        </w:rPr>
      </w:pPr>
      <w:r>
        <w:rPr>
          <w:rFonts w:hint="eastAsia"/>
          <w:b/>
          <w:bCs/>
          <w:i/>
          <w:iCs/>
          <w:kern w:val="2"/>
          <w:highlight w:val="none"/>
          <w:lang w:val="en-US" w:eastAsia="zh-CN"/>
        </w:rPr>
        <w:t>Proposal 4. To consider a new TDD pattern(</w:t>
      </w:r>
      <w:r>
        <w:rPr>
          <w:rFonts w:eastAsia="宋体" w:cs="Times New Roman"/>
          <w:sz w:val="18"/>
          <w:szCs w:val="18"/>
          <w:highlight w:val="none"/>
        </w:rPr>
        <w:t xml:space="preserve"> </w:t>
      </w:r>
      <w:r>
        <w:rPr>
          <w:rFonts w:hint="eastAsia"/>
          <w:b/>
          <w:bCs/>
          <w:i/>
          <w:iCs/>
          <w:kern w:val="2"/>
          <w:highlight w:val="none"/>
          <w:lang w:val="en-US" w:eastAsia="zh-CN"/>
        </w:rPr>
        <w:t>e.g. 30D4S6U, S=14G) for ATG scenario.</w:t>
      </w:r>
    </w:p>
    <w:p>
      <w:pPr>
        <w:spacing w:before="120" w:after="120"/>
        <w:rPr>
          <w:rFonts w:hint="eastAsia"/>
          <w:b/>
          <w:bCs/>
          <w:i/>
          <w:iCs/>
          <w:kern w:val="2"/>
          <w:lang w:val="en-US" w:eastAsia="zh-CN"/>
        </w:rPr>
      </w:pPr>
      <w:r>
        <w:rPr>
          <w:rFonts w:hint="eastAsia"/>
          <w:b/>
          <w:bCs/>
          <w:i/>
          <w:iCs/>
          <w:kern w:val="2"/>
          <w:lang w:val="en-US" w:eastAsia="zh-CN"/>
        </w:rPr>
        <w:t>Proposal 5. To consider 2Tx for BS 1-C/1-H and BS 1-O.</w:t>
      </w:r>
    </w:p>
    <w:p>
      <w:pPr>
        <w:spacing w:before="120" w:after="120"/>
        <w:rPr>
          <w:rFonts w:hint="default"/>
          <w:b/>
          <w:bCs/>
          <w:i/>
          <w:iCs/>
          <w:kern w:val="2"/>
          <w:lang w:val="en-US" w:eastAsia="zh-CN"/>
        </w:rPr>
      </w:pPr>
      <w:r>
        <w:rPr>
          <w:rFonts w:hint="eastAsia"/>
          <w:b/>
          <w:bCs/>
          <w:i/>
          <w:iCs/>
          <w:kern w:val="2"/>
          <w:lang w:val="en-US" w:eastAsia="zh-CN"/>
        </w:rPr>
        <w:t>Proposal 6. To consider rank1 and 16QAM, 64QAM and 256QAM for ATG performance requirements.</w:t>
      </w:r>
    </w:p>
    <w:p>
      <w:pPr>
        <w:spacing w:before="120" w:after="120"/>
        <w:rPr>
          <w:rFonts w:hint="eastAsia"/>
          <w:bCs/>
          <w:kern w:val="0"/>
          <w:sz w:val="21"/>
          <w:szCs w:val="21"/>
          <w:highlight w:val="none"/>
          <w:lang w:val="en-US" w:eastAsia="zh-CN"/>
        </w:rPr>
      </w:pPr>
      <w:r>
        <w:rPr>
          <w:rFonts w:hint="eastAsia"/>
          <w:b/>
          <w:bCs/>
          <w:i/>
          <w:iCs/>
          <w:kern w:val="2"/>
          <w:lang w:val="en-US" w:eastAsia="zh-CN"/>
        </w:rPr>
        <w:t>Proposal 7. To consider CP-OFDM and DFT-S-OFDM wave form for requirement definition.</w:t>
      </w:r>
    </w:p>
    <w:p>
      <w:pPr>
        <w:rPr>
          <w:rFonts w:hint="eastAsia"/>
          <w:bCs/>
          <w:kern w:val="0"/>
          <w:sz w:val="21"/>
          <w:szCs w:val="21"/>
          <w:highlight w:val="none"/>
          <w:lang w:val="en-US" w:eastAsia="zh-CN"/>
        </w:rPr>
      </w:pPr>
      <w:r>
        <w:rPr>
          <w:rFonts w:hint="eastAsia" w:ascii="Times New Roman" w:hAnsi="Times New Roman" w:eastAsia="宋体" w:cs="Times New Roman"/>
          <w:b/>
          <w:bCs/>
          <w:i/>
          <w:iCs/>
          <w:kern w:val="2"/>
          <w:sz w:val="20"/>
          <w:szCs w:val="20"/>
          <w:lang w:val="en-US" w:eastAsia="zh-CN" w:bidi="ar-SA"/>
        </w:rPr>
        <w:t xml:space="preserve">Proposal </w:t>
      </w:r>
      <w:r>
        <w:rPr>
          <w:rFonts w:hint="eastAsia" w:cs="Times New Roman"/>
          <w:b/>
          <w:bCs/>
          <w:i/>
          <w:iCs/>
          <w:kern w:val="2"/>
          <w:sz w:val="20"/>
          <w:szCs w:val="20"/>
          <w:lang w:val="en-US" w:eastAsia="zh-CN" w:bidi="ar-SA"/>
        </w:rPr>
        <w:t>8. To consider Table 2-1 for PUSCH simulation assumptions.</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RP-221369</w:t>
      </w:r>
      <w:r>
        <w:rPr>
          <w:rFonts w:hint="eastAsia"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WID on Air-to-ground network for NR</w:t>
      </w:r>
      <w:r>
        <w:rPr>
          <w:rFonts w:hint="eastAsia" w:cs="Times New Roman"/>
          <w:b w:val="0"/>
          <w:bCs w:val="0"/>
          <w:color w:val="auto"/>
          <w:sz w:val="20"/>
          <w:szCs w:val="20"/>
          <w:highlight w:val="none"/>
          <w:lang w:val="en-US" w:eastAsia="zh-CN"/>
        </w:rPr>
        <w:t>, CMCC.</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R4-2302996, WF for ATG demodulation requirements, CMCC</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游明朝">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0342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84582"/>
    <w:rsid w:val="033A0742"/>
    <w:rsid w:val="0341256C"/>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54C69"/>
    <w:rsid w:val="0476348C"/>
    <w:rsid w:val="04782230"/>
    <w:rsid w:val="0479507E"/>
    <w:rsid w:val="04894975"/>
    <w:rsid w:val="04B14B03"/>
    <w:rsid w:val="04DA1A87"/>
    <w:rsid w:val="04DE2DA3"/>
    <w:rsid w:val="04F75CE9"/>
    <w:rsid w:val="04FF1C94"/>
    <w:rsid w:val="04FF7D5A"/>
    <w:rsid w:val="0502349F"/>
    <w:rsid w:val="050E7487"/>
    <w:rsid w:val="051126EC"/>
    <w:rsid w:val="05161D2D"/>
    <w:rsid w:val="0522500E"/>
    <w:rsid w:val="052E568F"/>
    <w:rsid w:val="053973F0"/>
    <w:rsid w:val="053E65E7"/>
    <w:rsid w:val="054D7F39"/>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5D1C02"/>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16068"/>
    <w:rsid w:val="0D7F48FE"/>
    <w:rsid w:val="0D883C88"/>
    <w:rsid w:val="0D900677"/>
    <w:rsid w:val="0D966BF7"/>
    <w:rsid w:val="0DCC3AE8"/>
    <w:rsid w:val="0DD2139B"/>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22FA5"/>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7E5790"/>
    <w:rsid w:val="108C2479"/>
    <w:rsid w:val="10C715C5"/>
    <w:rsid w:val="10D335EF"/>
    <w:rsid w:val="10E746EA"/>
    <w:rsid w:val="10E83FE0"/>
    <w:rsid w:val="10EC3168"/>
    <w:rsid w:val="10F52718"/>
    <w:rsid w:val="114028DC"/>
    <w:rsid w:val="116F1EB0"/>
    <w:rsid w:val="117B1D6A"/>
    <w:rsid w:val="117C2D9D"/>
    <w:rsid w:val="117E7D61"/>
    <w:rsid w:val="117F159E"/>
    <w:rsid w:val="11821DC9"/>
    <w:rsid w:val="11921373"/>
    <w:rsid w:val="119C45DF"/>
    <w:rsid w:val="119D7849"/>
    <w:rsid w:val="11C67B8F"/>
    <w:rsid w:val="11E57D4F"/>
    <w:rsid w:val="11F92DAB"/>
    <w:rsid w:val="11FC38D5"/>
    <w:rsid w:val="1201463E"/>
    <w:rsid w:val="12095296"/>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55918"/>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891D5D"/>
    <w:rsid w:val="159F73BB"/>
    <w:rsid w:val="15B03F28"/>
    <w:rsid w:val="15DE29CF"/>
    <w:rsid w:val="15E30A80"/>
    <w:rsid w:val="15F77CD3"/>
    <w:rsid w:val="1608480E"/>
    <w:rsid w:val="161C1C58"/>
    <w:rsid w:val="162F7556"/>
    <w:rsid w:val="16413A3A"/>
    <w:rsid w:val="1644500C"/>
    <w:rsid w:val="16461A95"/>
    <w:rsid w:val="16594F06"/>
    <w:rsid w:val="1663404B"/>
    <w:rsid w:val="16657954"/>
    <w:rsid w:val="166F5E80"/>
    <w:rsid w:val="16766A92"/>
    <w:rsid w:val="167A52A9"/>
    <w:rsid w:val="16866882"/>
    <w:rsid w:val="168C392F"/>
    <w:rsid w:val="168F69F2"/>
    <w:rsid w:val="169C7FDE"/>
    <w:rsid w:val="16A4319F"/>
    <w:rsid w:val="16AC4DDB"/>
    <w:rsid w:val="16AE2FE3"/>
    <w:rsid w:val="16B4400E"/>
    <w:rsid w:val="16C45A6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6E29C4"/>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5184"/>
    <w:rsid w:val="19B46E10"/>
    <w:rsid w:val="19C456C1"/>
    <w:rsid w:val="19DD71E7"/>
    <w:rsid w:val="19F061A1"/>
    <w:rsid w:val="1A054259"/>
    <w:rsid w:val="1A081816"/>
    <w:rsid w:val="1A165171"/>
    <w:rsid w:val="1A4858FF"/>
    <w:rsid w:val="1A4C698A"/>
    <w:rsid w:val="1A5E4B5A"/>
    <w:rsid w:val="1A672B1C"/>
    <w:rsid w:val="1A76203E"/>
    <w:rsid w:val="1A8301C0"/>
    <w:rsid w:val="1A872248"/>
    <w:rsid w:val="1A9B2279"/>
    <w:rsid w:val="1A9E6232"/>
    <w:rsid w:val="1AA74D3D"/>
    <w:rsid w:val="1AB34DB4"/>
    <w:rsid w:val="1AB613FD"/>
    <w:rsid w:val="1AB6687D"/>
    <w:rsid w:val="1ACF5EB8"/>
    <w:rsid w:val="1AD26086"/>
    <w:rsid w:val="1AE013F8"/>
    <w:rsid w:val="1AE8570C"/>
    <w:rsid w:val="1AFB06A3"/>
    <w:rsid w:val="1B0F19AE"/>
    <w:rsid w:val="1B2160BB"/>
    <w:rsid w:val="1B3637AD"/>
    <w:rsid w:val="1B3E0DB5"/>
    <w:rsid w:val="1B454C94"/>
    <w:rsid w:val="1B5258E6"/>
    <w:rsid w:val="1B6A54A6"/>
    <w:rsid w:val="1B6C0DF0"/>
    <w:rsid w:val="1B754281"/>
    <w:rsid w:val="1B76379D"/>
    <w:rsid w:val="1B7F6005"/>
    <w:rsid w:val="1B9C269A"/>
    <w:rsid w:val="1B9E64C5"/>
    <w:rsid w:val="1BBE493C"/>
    <w:rsid w:val="1BC01115"/>
    <w:rsid w:val="1BC36606"/>
    <w:rsid w:val="1BC44015"/>
    <w:rsid w:val="1BCA6284"/>
    <w:rsid w:val="1BD146FC"/>
    <w:rsid w:val="1BF86C63"/>
    <w:rsid w:val="1C013494"/>
    <w:rsid w:val="1C053414"/>
    <w:rsid w:val="1C0C6675"/>
    <w:rsid w:val="1C0D38E2"/>
    <w:rsid w:val="1C132CB9"/>
    <w:rsid w:val="1C273D33"/>
    <w:rsid w:val="1C4032AB"/>
    <w:rsid w:val="1C4672ED"/>
    <w:rsid w:val="1C467AB6"/>
    <w:rsid w:val="1C4D51EF"/>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EFF10B3"/>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D092E"/>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C5659"/>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D25A2C"/>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BC533D"/>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353B43"/>
    <w:rsid w:val="25734B61"/>
    <w:rsid w:val="257851FD"/>
    <w:rsid w:val="258F6BC4"/>
    <w:rsid w:val="25975923"/>
    <w:rsid w:val="259A3D0A"/>
    <w:rsid w:val="259C29DF"/>
    <w:rsid w:val="259C6CCE"/>
    <w:rsid w:val="25A95F3E"/>
    <w:rsid w:val="25BF6041"/>
    <w:rsid w:val="25C35718"/>
    <w:rsid w:val="25CF0252"/>
    <w:rsid w:val="25D0248E"/>
    <w:rsid w:val="25F81D70"/>
    <w:rsid w:val="25FB5636"/>
    <w:rsid w:val="25FE58A9"/>
    <w:rsid w:val="26070462"/>
    <w:rsid w:val="260D2C45"/>
    <w:rsid w:val="26395C92"/>
    <w:rsid w:val="26484954"/>
    <w:rsid w:val="26561D2C"/>
    <w:rsid w:val="266237C3"/>
    <w:rsid w:val="267550B9"/>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12846"/>
    <w:rsid w:val="2792618A"/>
    <w:rsid w:val="279B1E53"/>
    <w:rsid w:val="27AB7429"/>
    <w:rsid w:val="27BB456D"/>
    <w:rsid w:val="27C57B2B"/>
    <w:rsid w:val="27C704E4"/>
    <w:rsid w:val="27C8029E"/>
    <w:rsid w:val="27CC78AC"/>
    <w:rsid w:val="27DB4A5E"/>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8F262BE"/>
    <w:rsid w:val="2903396A"/>
    <w:rsid w:val="29232CF8"/>
    <w:rsid w:val="292918ED"/>
    <w:rsid w:val="294E766A"/>
    <w:rsid w:val="295517E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72379"/>
    <w:rsid w:val="2C094904"/>
    <w:rsid w:val="2C0E55A1"/>
    <w:rsid w:val="2C3658B0"/>
    <w:rsid w:val="2C3A7BF6"/>
    <w:rsid w:val="2C425BCE"/>
    <w:rsid w:val="2C44676A"/>
    <w:rsid w:val="2C4A080C"/>
    <w:rsid w:val="2C54533B"/>
    <w:rsid w:val="2C5556B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DE84889"/>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0378D9"/>
    <w:rsid w:val="2F1251F2"/>
    <w:rsid w:val="2F4D49C0"/>
    <w:rsid w:val="2F4F6FBB"/>
    <w:rsid w:val="2F5B3F57"/>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C16A19"/>
    <w:rsid w:val="30D32236"/>
    <w:rsid w:val="30F75D65"/>
    <w:rsid w:val="30FA7530"/>
    <w:rsid w:val="30FF2795"/>
    <w:rsid w:val="310375CD"/>
    <w:rsid w:val="311611B3"/>
    <w:rsid w:val="311A723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7A2C78"/>
    <w:rsid w:val="328F5534"/>
    <w:rsid w:val="329A6ACE"/>
    <w:rsid w:val="32A230DB"/>
    <w:rsid w:val="32CB6A28"/>
    <w:rsid w:val="32DF351E"/>
    <w:rsid w:val="32E45F9F"/>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960E28"/>
    <w:rsid w:val="33BF4199"/>
    <w:rsid w:val="33FE62E7"/>
    <w:rsid w:val="340819D4"/>
    <w:rsid w:val="340D25F6"/>
    <w:rsid w:val="342B76C7"/>
    <w:rsid w:val="34393277"/>
    <w:rsid w:val="343A1527"/>
    <w:rsid w:val="34447898"/>
    <w:rsid w:val="344E62FA"/>
    <w:rsid w:val="3472234D"/>
    <w:rsid w:val="347D500F"/>
    <w:rsid w:val="34830157"/>
    <w:rsid w:val="34872D27"/>
    <w:rsid w:val="349164BD"/>
    <w:rsid w:val="34BD02AE"/>
    <w:rsid w:val="34DA26A8"/>
    <w:rsid w:val="34E960F1"/>
    <w:rsid w:val="350B42D5"/>
    <w:rsid w:val="350F6258"/>
    <w:rsid w:val="351622C7"/>
    <w:rsid w:val="351A603C"/>
    <w:rsid w:val="352821F6"/>
    <w:rsid w:val="35303C42"/>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402EFA"/>
    <w:rsid w:val="36411CC2"/>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2B1BDF"/>
    <w:rsid w:val="382E392C"/>
    <w:rsid w:val="38342E90"/>
    <w:rsid w:val="384A24FB"/>
    <w:rsid w:val="384B7332"/>
    <w:rsid w:val="385056AF"/>
    <w:rsid w:val="38706DCB"/>
    <w:rsid w:val="387E6831"/>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13F51"/>
    <w:rsid w:val="3B185809"/>
    <w:rsid w:val="3B307112"/>
    <w:rsid w:val="3B540533"/>
    <w:rsid w:val="3B5A2A22"/>
    <w:rsid w:val="3B7804A3"/>
    <w:rsid w:val="3B781EF0"/>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32309"/>
    <w:rsid w:val="3CEC39B8"/>
    <w:rsid w:val="3CED1F0D"/>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023C"/>
    <w:rsid w:val="3E1D4B24"/>
    <w:rsid w:val="3E3A04FA"/>
    <w:rsid w:val="3E3D6B96"/>
    <w:rsid w:val="3E441C7D"/>
    <w:rsid w:val="3E490256"/>
    <w:rsid w:val="3E55739E"/>
    <w:rsid w:val="3E6C43C8"/>
    <w:rsid w:val="3E74637B"/>
    <w:rsid w:val="3E8227F0"/>
    <w:rsid w:val="3E91229A"/>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8A28CF"/>
    <w:rsid w:val="419278C8"/>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76CA6"/>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D76CC"/>
    <w:rsid w:val="44DC46EB"/>
    <w:rsid w:val="44F03F8F"/>
    <w:rsid w:val="44F14ECF"/>
    <w:rsid w:val="45275172"/>
    <w:rsid w:val="452754C3"/>
    <w:rsid w:val="452D0A06"/>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271A7"/>
    <w:rsid w:val="45A82F38"/>
    <w:rsid w:val="45AC0441"/>
    <w:rsid w:val="45B047D1"/>
    <w:rsid w:val="45BE6191"/>
    <w:rsid w:val="45BE648C"/>
    <w:rsid w:val="45CD2126"/>
    <w:rsid w:val="460C5979"/>
    <w:rsid w:val="46110AB3"/>
    <w:rsid w:val="46143B66"/>
    <w:rsid w:val="46214325"/>
    <w:rsid w:val="463246EC"/>
    <w:rsid w:val="463A3547"/>
    <w:rsid w:val="464E25C4"/>
    <w:rsid w:val="46555DC3"/>
    <w:rsid w:val="46617DB2"/>
    <w:rsid w:val="46621065"/>
    <w:rsid w:val="46665198"/>
    <w:rsid w:val="46697236"/>
    <w:rsid w:val="46703D0A"/>
    <w:rsid w:val="46770F8B"/>
    <w:rsid w:val="467C16FA"/>
    <w:rsid w:val="46894B18"/>
    <w:rsid w:val="469448C6"/>
    <w:rsid w:val="46A232B5"/>
    <w:rsid w:val="46B80AF8"/>
    <w:rsid w:val="46D37F0B"/>
    <w:rsid w:val="46D71533"/>
    <w:rsid w:val="46E53335"/>
    <w:rsid w:val="47040E98"/>
    <w:rsid w:val="47155D89"/>
    <w:rsid w:val="47173D82"/>
    <w:rsid w:val="4723554A"/>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96CE4"/>
    <w:rsid w:val="4B3E7ACE"/>
    <w:rsid w:val="4B57342A"/>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ED698D"/>
    <w:rsid w:val="4CF52D94"/>
    <w:rsid w:val="4D462159"/>
    <w:rsid w:val="4D566017"/>
    <w:rsid w:val="4D7D3EFB"/>
    <w:rsid w:val="4D8B0123"/>
    <w:rsid w:val="4DAF14C5"/>
    <w:rsid w:val="4DB9067A"/>
    <w:rsid w:val="4DC605B6"/>
    <w:rsid w:val="4DD732D2"/>
    <w:rsid w:val="4DDA2500"/>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AB17A2"/>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500815B6"/>
    <w:rsid w:val="500B39BC"/>
    <w:rsid w:val="5022123F"/>
    <w:rsid w:val="50265171"/>
    <w:rsid w:val="502B7315"/>
    <w:rsid w:val="50322A8C"/>
    <w:rsid w:val="503F32CF"/>
    <w:rsid w:val="5041152A"/>
    <w:rsid w:val="5054186F"/>
    <w:rsid w:val="507C28FA"/>
    <w:rsid w:val="507E1B25"/>
    <w:rsid w:val="50811A22"/>
    <w:rsid w:val="50896FD6"/>
    <w:rsid w:val="508E3B94"/>
    <w:rsid w:val="508E4492"/>
    <w:rsid w:val="5090223F"/>
    <w:rsid w:val="50924591"/>
    <w:rsid w:val="50985F96"/>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4903BF"/>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97E86"/>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2379AE"/>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EE5B83"/>
    <w:rsid w:val="5AF124A4"/>
    <w:rsid w:val="5B141085"/>
    <w:rsid w:val="5B141ACD"/>
    <w:rsid w:val="5B28192B"/>
    <w:rsid w:val="5B2E7D32"/>
    <w:rsid w:val="5B66707B"/>
    <w:rsid w:val="5B673066"/>
    <w:rsid w:val="5B785E83"/>
    <w:rsid w:val="5B7C1CD1"/>
    <w:rsid w:val="5B82056F"/>
    <w:rsid w:val="5B844C2C"/>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269A6"/>
    <w:rsid w:val="5E237029"/>
    <w:rsid w:val="5E2E6F9A"/>
    <w:rsid w:val="5E3A3BD1"/>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705965"/>
    <w:rsid w:val="6182260C"/>
    <w:rsid w:val="61D43A2B"/>
    <w:rsid w:val="61D61F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867A2"/>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261FD"/>
    <w:rsid w:val="677A266A"/>
    <w:rsid w:val="677C1A81"/>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77"/>
    <w:rsid w:val="698C13C5"/>
    <w:rsid w:val="69AE1F57"/>
    <w:rsid w:val="69EE7649"/>
    <w:rsid w:val="69F0745A"/>
    <w:rsid w:val="69F96885"/>
    <w:rsid w:val="6A1D59EC"/>
    <w:rsid w:val="6A247F72"/>
    <w:rsid w:val="6A3E2393"/>
    <w:rsid w:val="6A435B92"/>
    <w:rsid w:val="6A444DB8"/>
    <w:rsid w:val="6A4D4828"/>
    <w:rsid w:val="6A516AC3"/>
    <w:rsid w:val="6A5303BA"/>
    <w:rsid w:val="6A677080"/>
    <w:rsid w:val="6A6B4F3D"/>
    <w:rsid w:val="6A711183"/>
    <w:rsid w:val="6A762B91"/>
    <w:rsid w:val="6A7B4B9C"/>
    <w:rsid w:val="6A973A89"/>
    <w:rsid w:val="6A9F1E6A"/>
    <w:rsid w:val="6AAF014C"/>
    <w:rsid w:val="6ACB082B"/>
    <w:rsid w:val="6AD21610"/>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5A5297"/>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F43BD4"/>
    <w:rsid w:val="6E0E1FAB"/>
    <w:rsid w:val="6E126D62"/>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CD3490"/>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25E76"/>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44F5A"/>
    <w:rsid w:val="74B808BF"/>
    <w:rsid w:val="75084E8F"/>
    <w:rsid w:val="75202656"/>
    <w:rsid w:val="75752B04"/>
    <w:rsid w:val="758910BB"/>
    <w:rsid w:val="75955DA9"/>
    <w:rsid w:val="75977910"/>
    <w:rsid w:val="759F2A35"/>
    <w:rsid w:val="75B15C41"/>
    <w:rsid w:val="75D12923"/>
    <w:rsid w:val="75DD44B5"/>
    <w:rsid w:val="75DE5B10"/>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C1200"/>
    <w:rsid w:val="76CF29D3"/>
    <w:rsid w:val="76EC51FD"/>
    <w:rsid w:val="76F410B8"/>
    <w:rsid w:val="771B67DF"/>
    <w:rsid w:val="77451578"/>
    <w:rsid w:val="77692EA3"/>
    <w:rsid w:val="77803798"/>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18142C"/>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355D1"/>
    <w:rsid w:val="79395A92"/>
    <w:rsid w:val="794008FB"/>
    <w:rsid w:val="794708D9"/>
    <w:rsid w:val="794B21A1"/>
    <w:rsid w:val="7964574A"/>
    <w:rsid w:val="79874847"/>
    <w:rsid w:val="79941CF2"/>
    <w:rsid w:val="79973382"/>
    <w:rsid w:val="79D33056"/>
    <w:rsid w:val="79EC0256"/>
    <w:rsid w:val="79F60153"/>
    <w:rsid w:val="79FB6E2C"/>
    <w:rsid w:val="7A000A00"/>
    <w:rsid w:val="7A0E4AC7"/>
    <w:rsid w:val="7A4C2D60"/>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51730"/>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0</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2023-04-10T10:54:35Z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